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4D79" w14:textId="77777777" w:rsidR="0083202C" w:rsidRPr="0049039D" w:rsidRDefault="0083202C" w:rsidP="0083202C">
      <w:pPr>
        <w:jc w:val="both"/>
        <w:rPr>
          <w:rFonts w:cs="Arial"/>
          <w:b/>
          <w:sz w:val="24"/>
          <w:szCs w:val="24"/>
        </w:rPr>
      </w:pPr>
      <w:r w:rsidRPr="0049039D">
        <w:rPr>
          <w:rFonts w:cs="Arial"/>
          <w:b/>
          <w:sz w:val="24"/>
          <w:szCs w:val="24"/>
        </w:rPr>
        <w:t>Housing 21</w:t>
      </w:r>
    </w:p>
    <w:p w14:paraId="66990667" w14:textId="77777777" w:rsidR="0083202C" w:rsidRDefault="0083202C" w:rsidP="0083202C">
      <w:pPr>
        <w:jc w:val="both"/>
        <w:rPr>
          <w:rFonts w:cs="Arial"/>
        </w:rPr>
      </w:pPr>
    </w:p>
    <w:p w14:paraId="17978964" w14:textId="77777777" w:rsidR="0083202C" w:rsidRPr="005D3847" w:rsidRDefault="0083202C" w:rsidP="0083202C">
      <w:pPr>
        <w:jc w:val="both"/>
        <w:rPr>
          <w:rFonts w:cs="Arial"/>
          <w:b/>
        </w:rPr>
      </w:pPr>
      <w:r w:rsidRPr="005D3847">
        <w:rPr>
          <w:rFonts w:cs="Arial"/>
          <w:b/>
        </w:rPr>
        <w:t>Trading update for the six months ended 30 September 2021</w:t>
      </w:r>
    </w:p>
    <w:p w14:paraId="2B7E915A" w14:textId="77777777" w:rsidR="0083202C" w:rsidRDefault="0083202C" w:rsidP="0083202C">
      <w:pPr>
        <w:jc w:val="both"/>
        <w:rPr>
          <w:rFonts w:cs="Arial"/>
        </w:rPr>
      </w:pPr>
    </w:p>
    <w:p w14:paraId="319B033C" w14:textId="77777777" w:rsidR="0083202C" w:rsidRDefault="0083202C" w:rsidP="0083202C">
      <w:pPr>
        <w:jc w:val="both"/>
        <w:rPr>
          <w:rFonts w:cs="Arial"/>
        </w:rPr>
      </w:pPr>
      <w:r>
        <w:rPr>
          <w:rFonts w:cs="Arial"/>
        </w:rPr>
        <w:t>Housing 21 is today issuing a trading update for the six months ended 30 September 2021 which includes various financial and operational information. The financial information is unaudited and provided for information purposes only.</w:t>
      </w:r>
    </w:p>
    <w:p w14:paraId="22D7F0F6" w14:textId="77777777" w:rsidR="0083202C" w:rsidRDefault="0083202C" w:rsidP="0083202C">
      <w:pPr>
        <w:jc w:val="both"/>
        <w:rPr>
          <w:rFonts w:cs="Arial"/>
        </w:rPr>
      </w:pPr>
    </w:p>
    <w:p w14:paraId="5143D0E0" w14:textId="77777777" w:rsidR="0083202C" w:rsidRDefault="0083202C" w:rsidP="0083202C">
      <w:pPr>
        <w:jc w:val="both"/>
        <w:rPr>
          <w:rFonts w:cs="Arial"/>
        </w:rPr>
      </w:pPr>
      <w:r>
        <w:rPr>
          <w:rFonts w:cs="Arial"/>
        </w:rPr>
        <w:t>Commenting on Housing 21’s performance in the first half of the current year, Andy Howarth, Chief Financial Officer, said:</w:t>
      </w:r>
    </w:p>
    <w:p w14:paraId="31B11477" w14:textId="77777777" w:rsidR="0083202C" w:rsidRDefault="0083202C" w:rsidP="0083202C">
      <w:pPr>
        <w:jc w:val="both"/>
        <w:rPr>
          <w:rFonts w:cs="Arial"/>
        </w:rPr>
      </w:pPr>
    </w:p>
    <w:p w14:paraId="716AF311" w14:textId="77777777" w:rsidR="0083202C" w:rsidRDefault="0083202C" w:rsidP="0083202C">
      <w:pPr>
        <w:jc w:val="both"/>
        <w:rPr>
          <w:rFonts w:cs="Arial"/>
        </w:rPr>
      </w:pPr>
      <w:r>
        <w:rPr>
          <w:rFonts w:cs="Arial"/>
        </w:rPr>
        <w:t>“</w:t>
      </w:r>
      <w:r w:rsidRPr="00B25722">
        <w:rPr>
          <w:rFonts w:cs="Arial"/>
        </w:rPr>
        <w:t xml:space="preserve">The first half of 2021/22 has </w:t>
      </w:r>
      <w:r>
        <w:rPr>
          <w:rFonts w:cs="Arial"/>
        </w:rPr>
        <w:t>s</w:t>
      </w:r>
      <w:r w:rsidRPr="00B25722">
        <w:rPr>
          <w:rFonts w:cs="Arial"/>
        </w:rPr>
        <w:t xml:space="preserve">een </w:t>
      </w:r>
      <w:r>
        <w:rPr>
          <w:rFonts w:cs="Arial"/>
        </w:rPr>
        <w:t>a</w:t>
      </w:r>
      <w:r w:rsidRPr="00B25722">
        <w:rPr>
          <w:rFonts w:cs="Arial"/>
        </w:rPr>
        <w:t xml:space="preserve"> return to more n</w:t>
      </w:r>
      <w:r>
        <w:rPr>
          <w:rFonts w:cs="Arial"/>
        </w:rPr>
        <w:t>ormal operating conditions with</w:t>
      </w:r>
      <w:r w:rsidRPr="00B25722">
        <w:rPr>
          <w:rFonts w:cs="Arial"/>
        </w:rPr>
        <w:t xml:space="preserve"> the effects of the Covid pandemic </w:t>
      </w:r>
      <w:r>
        <w:rPr>
          <w:rFonts w:cs="Arial"/>
        </w:rPr>
        <w:t>moderating compared to last year. Our development programme is back on track and performing in line with expectations. Surplus is on budget and we expect this steady performance to continue to the end of the year</w:t>
      </w:r>
      <w:r w:rsidRPr="00B25722">
        <w:rPr>
          <w:rFonts w:cs="Arial"/>
        </w:rPr>
        <w:t>.</w:t>
      </w:r>
      <w:r>
        <w:rPr>
          <w:rFonts w:cs="Arial"/>
        </w:rPr>
        <w:t>”</w:t>
      </w:r>
    </w:p>
    <w:p w14:paraId="2EFBCB36" w14:textId="77777777" w:rsidR="0083202C" w:rsidRDefault="0083202C" w:rsidP="0083202C">
      <w:pPr>
        <w:jc w:val="both"/>
        <w:rPr>
          <w:rFonts w:cs="Arial"/>
        </w:rPr>
      </w:pPr>
    </w:p>
    <w:p w14:paraId="0CAFB029" w14:textId="77777777" w:rsidR="0083202C" w:rsidRDefault="0083202C" w:rsidP="0083202C">
      <w:pPr>
        <w:jc w:val="both"/>
        <w:rPr>
          <w:rFonts w:cs="Arial"/>
        </w:rPr>
      </w:pPr>
    </w:p>
    <w:p w14:paraId="4B05CAB1" w14:textId="77777777" w:rsidR="0083202C" w:rsidRPr="005D3847" w:rsidRDefault="0083202C" w:rsidP="0083202C">
      <w:pPr>
        <w:jc w:val="both"/>
        <w:rPr>
          <w:rFonts w:cs="Arial"/>
          <w:b/>
        </w:rPr>
      </w:pPr>
      <w:r w:rsidRPr="005D3847">
        <w:rPr>
          <w:rFonts w:cs="Arial"/>
          <w:b/>
        </w:rPr>
        <w:t>Highlights</w:t>
      </w:r>
    </w:p>
    <w:p w14:paraId="383DD22D" w14:textId="77777777" w:rsidR="0083202C" w:rsidRDefault="0083202C" w:rsidP="0083202C">
      <w:pPr>
        <w:jc w:val="both"/>
        <w:rPr>
          <w:rFonts w:cs="Arial"/>
        </w:rPr>
      </w:pPr>
    </w:p>
    <w:p w14:paraId="36B4D513" w14:textId="77777777" w:rsidR="0083202C" w:rsidRPr="00053002" w:rsidRDefault="0083202C" w:rsidP="0083202C">
      <w:pPr>
        <w:pStyle w:val="ListParagraph"/>
        <w:numPr>
          <w:ilvl w:val="0"/>
          <w:numId w:val="4"/>
        </w:numPr>
        <w:jc w:val="both"/>
        <w:rPr>
          <w:rFonts w:ascii="Arial" w:hAnsi="Arial" w:cs="Arial"/>
          <w:sz w:val="20"/>
          <w:szCs w:val="20"/>
        </w:rPr>
      </w:pPr>
      <w:r w:rsidRPr="00053002">
        <w:rPr>
          <w:rFonts w:ascii="Arial" w:hAnsi="Arial" w:cs="Arial"/>
          <w:sz w:val="20"/>
          <w:szCs w:val="20"/>
        </w:rPr>
        <w:t xml:space="preserve">We completed a net </w:t>
      </w:r>
      <w:r w:rsidRPr="00053002">
        <w:rPr>
          <w:rStyle w:val="qw"/>
          <w:rFonts w:ascii="Arial" w:hAnsi="Arial" w:cs="Arial"/>
          <w:color w:val="16202C"/>
          <w:sz w:val="20"/>
          <w:szCs w:val="20"/>
        </w:rPr>
        <w:t>404 properties in the period taking our overall property portfolio to 21,951 owned and/or managed properties (31 March 2021: 21,547)</w:t>
      </w:r>
    </w:p>
    <w:p w14:paraId="525F13BE" w14:textId="77777777" w:rsidR="0083202C" w:rsidRPr="00053002" w:rsidRDefault="0083202C" w:rsidP="0083202C">
      <w:pPr>
        <w:pStyle w:val="ListParagraph"/>
        <w:numPr>
          <w:ilvl w:val="0"/>
          <w:numId w:val="4"/>
        </w:numPr>
        <w:jc w:val="both"/>
        <w:rPr>
          <w:rStyle w:val="qw"/>
          <w:rFonts w:ascii="Arial" w:hAnsi="Arial" w:cs="Arial"/>
          <w:sz w:val="20"/>
          <w:szCs w:val="20"/>
        </w:rPr>
      </w:pPr>
      <w:r w:rsidRPr="00053002">
        <w:rPr>
          <w:rFonts w:ascii="Arial" w:hAnsi="Arial" w:cs="Arial"/>
          <w:sz w:val="20"/>
          <w:szCs w:val="20"/>
        </w:rPr>
        <w:t>Turnover increased 11.5% to £</w:t>
      </w:r>
      <w:r w:rsidRPr="00053002">
        <w:rPr>
          <w:rStyle w:val="qw"/>
          <w:rFonts w:ascii="Arial" w:hAnsi="Arial" w:cs="Arial"/>
          <w:color w:val="16202C"/>
          <w:sz w:val="20"/>
          <w:szCs w:val="20"/>
        </w:rPr>
        <w:t>109.3 million (2020: £</w:t>
      </w:r>
      <w:r w:rsidRPr="00053002">
        <w:rPr>
          <w:rFonts w:ascii="Arial" w:hAnsi="Arial" w:cs="Arial"/>
          <w:sz w:val="20"/>
          <w:szCs w:val="20"/>
        </w:rPr>
        <w:t>98.0</w:t>
      </w:r>
      <w:r w:rsidRPr="00053002">
        <w:rPr>
          <w:rStyle w:val="qw"/>
          <w:rFonts w:ascii="Arial" w:hAnsi="Arial" w:cs="Arial"/>
          <w:color w:val="16202C"/>
          <w:sz w:val="20"/>
          <w:szCs w:val="20"/>
        </w:rPr>
        <w:t xml:space="preserve"> million)</w:t>
      </w:r>
    </w:p>
    <w:p w14:paraId="248531B3" w14:textId="77777777" w:rsidR="0083202C" w:rsidRPr="00053002" w:rsidRDefault="0083202C" w:rsidP="0083202C">
      <w:pPr>
        <w:pStyle w:val="ListParagraph"/>
        <w:numPr>
          <w:ilvl w:val="0"/>
          <w:numId w:val="4"/>
        </w:numPr>
        <w:jc w:val="both"/>
        <w:rPr>
          <w:rStyle w:val="qw"/>
          <w:rFonts w:ascii="Arial" w:hAnsi="Arial" w:cs="Arial"/>
          <w:sz w:val="20"/>
          <w:szCs w:val="20"/>
        </w:rPr>
      </w:pPr>
      <w:r w:rsidRPr="00053002">
        <w:rPr>
          <w:rStyle w:val="qw"/>
          <w:rFonts w:ascii="Arial" w:hAnsi="Arial" w:cs="Arial"/>
          <w:color w:val="16202C"/>
          <w:sz w:val="20"/>
          <w:szCs w:val="20"/>
        </w:rPr>
        <w:t>Operating surplus</w:t>
      </w:r>
      <w:r w:rsidRPr="00053002">
        <w:rPr>
          <w:rStyle w:val="qw"/>
          <w:rFonts w:ascii="Arial" w:hAnsi="Arial" w:cs="Arial"/>
          <w:color w:val="16202C"/>
          <w:sz w:val="20"/>
          <w:szCs w:val="20"/>
          <w:vertAlign w:val="superscript"/>
        </w:rPr>
        <w:t>(1)</w:t>
      </w:r>
      <w:r w:rsidRPr="00053002">
        <w:rPr>
          <w:rStyle w:val="qw"/>
          <w:rFonts w:ascii="Arial" w:hAnsi="Arial" w:cs="Arial"/>
          <w:color w:val="16202C"/>
          <w:sz w:val="20"/>
          <w:szCs w:val="20"/>
        </w:rPr>
        <w:t xml:space="preserve"> was down</w:t>
      </w:r>
      <w:r w:rsidRPr="00053002">
        <w:rPr>
          <w:rFonts w:ascii="Arial" w:hAnsi="Arial" w:cs="Arial"/>
          <w:sz w:val="20"/>
          <w:szCs w:val="20"/>
        </w:rPr>
        <w:t xml:space="preserve"> 15.7% to £</w:t>
      </w:r>
      <w:r w:rsidRPr="00053002">
        <w:rPr>
          <w:rStyle w:val="qw"/>
          <w:rFonts w:ascii="Arial" w:hAnsi="Arial" w:cs="Arial"/>
          <w:color w:val="16202C"/>
          <w:sz w:val="20"/>
          <w:szCs w:val="20"/>
        </w:rPr>
        <w:t>16.6 million (2020: £19.7 million)</w:t>
      </w:r>
    </w:p>
    <w:p w14:paraId="24D0530E" w14:textId="77777777" w:rsidR="0083202C" w:rsidRPr="00053002" w:rsidRDefault="0083202C" w:rsidP="0083202C">
      <w:pPr>
        <w:pStyle w:val="ListParagraph"/>
        <w:numPr>
          <w:ilvl w:val="0"/>
          <w:numId w:val="4"/>
        </w:numPr>
        <w:jc w:val="both"/>
        <w:rPr>
          <w:rStyle w:val="qw"/>
          <w:rFonts w:ascii="Arial" w:hAnsi="Arial" w:cs="Arial"/>
          <w:sz w:val="20"/>
          <w:szCs w:val="20"/>
        </w:rPr>
      </w:pPr>
      <w:r w:rsidRPr="00053002">
        <w:rPr>
          <w:rStyle w:val="qw"/>
          <w:rFonts w:ascii="Arial" w:hAnsi="Arial" w:cs="Arial"/>
          <w:color w:val="16202C"/>
          <w:sz w:val="20"/>
          <w:szCs w:val="20"/>
        </w:rPr>
        <w:t>Gearing as at 30 September 2021 was 34.4% (31 March 2021: 34.8%)</w:t>
      </w:r>
      <w:r w:rsidRPr="00053002">
        <w:rPr>
          <w:rStyle w:val="qw"/>
          <w:rFonts w:ascii="Arial" w:hAnsi="Arial" w:cs="Arial"/>
          <w:color w:val="16202C"/>
          <w:sz w:val="20"/>
          <w:szCs w:val="20"/>
          <w:vertAlign w:val="superscript"/>
        </w:rPr>
        <w:t>(2)</w:t>
      </w:r>
    </w:p>
    <w:p w14:paraId="670F0E4F" w14:textId="77777777" w:rsidR="0083202C" w:rsidRPr="00053002" w:rsidRDefault="0083202C" w:rsidP="0083202C">
      <w:pPr>
        <w:pStyle w:val="ListParagraph"/>
        <w:numPr>
          <w:ilvl w:val="0"/>
          <w:numId w:val="4"/>
        </w:numPr>
        <w:jc w:val="both"/>
        <w:rPr>
          <w:rStyle w:val="qw"/>
          <w:rFonts w:ascii="Arial" w:hAnsi="Arial" w:cs="Arial"/>
          <w:sz w:val="20"/>
          <w:szCs w:val="20"/>
        </w:rPr>
      </w:pPr>
      <w:r w:rsidRPr="00053002">
        <w:rPr>
          <w:rStyle w:val="qw"/>
          <w:rFonts w:ascii="Arial" w:hAnsi="Arial" w:cs="Arial"/>
          <w:color w:val="16202C"/>
          <w:sz w:val="20"/>
          <w:szCs w:val="20"/>
        </w:rPr>
        <w:t>EBITDA-MRI interest cover</w:t>
      </w:r>
      <w:r w:rsidRPr="00053002">
        <w:rPr>
          <w:rStyle w:val="qw"/>
          <w:rFonts w:ascii="Arial" w:hAnsi="Arial" w:cs="Arial"/>
          <w:color w:val="16202C"/>
          <w:sz w:val="20"/>
          <w:szCs w:val="20"/>
          <w:vertAlign w:val="superscript"/>
        </w:rPr>
        <w:t>(3)</w:t>
      </w:r>
      <w:r w:rsidRPr="00053002">
        <w:rPr>
          <w:rStyle w:val="qw"/>
          <w:rFonts w:ascii="Arial" w:hAnsi="Arial" w:cs="Arial"/>
          <w:color w:val="16202C"/>
          <w:sz w:val="20"/>
          <w:szCs w:val="20"/>
        </w:rPr>
        <w:t xml:space="preserve"> was 128% (2020: 222%)</w:t>
      </w:r>
    </w:p>
    <w:p w14:paraId="47A4DED1" w14:textId="77777777" w:rsidR="0083202C" w:rsidRPr="00053002" w:rsidRDefault="0083202C" w:rsidP="0083202C">
      <w:pPr>
        <w:pStyle w:val="ListParagraph"/>
        <w:numPr>
          <w:ilvl w:val="0"/>
          <w:numId w:val="4"/>
        </w:numPr>
        <w:jc w:val="both"/>
        <w:rPr>
          <w:rFonts w:ascii="Arial" w:hAnsi="Arial" w:cs="Arial"/>
          <w:sz w:val="20"/>
          <w:szCs w:val="20"/>
        </w:rPr>
      </w:pPr>
      <w:r w:rsidRPr="00053002">
        <w:rPr>
          <w:rStyle w:val="qw"/>
          <w:rFonts w:ascii="Arial" w:hAnsi="Arial" w:cs="Arial"/>
          <w:color w:val="16202C"/>
          <w:sz w:val="20"/>
          <w:szCs w:val="20"/>
        </w:rPr>
        <w:t>Liquidity horizon currently extends to February 2024</w:t>
      </w:r>
    </w:p>
    <w:p w14:paraId="1B04C3E8" w14:textId="77777777" w:rsidR="0083202C" w:rsidRDefault="0083202C" w:rsidP="0083202C">
      <w:pPr>
        <w:jc w:val="both"/>
        <w:rPr>
          <w:rFonts w:cs="Arial"/>
        </w:rPr>
      </w:pPr>
    </w:p>
    <w:p w14:paraId="20DC55CD" w14:textId="77777777" w:rsidR="0083202C" w:rsidRPr="002D71B4" w:rsidRDefault="0083202C" w:rsidP="0083202C">
      <w:pPr>
        <w:jc w:val="both"/>
        <w:rPr>
          <w:rFonts w:cs="Arial"/>
          <w:sz w:val="16"/>
          <w:szCs w:val="16"/>
        </w:rPr>
      </w:pPr>
      <w:r w:rsidRPr="002D71B4">
        <w:rPr>
          <w:rFonts w:cs="Arial"/>
          <w:sz w:val="16"/>
          <w:szCs w:val="16"/>
        </w:rPr>
        <w:t>Notes</w:t>
      </w:r>
    </w:p>
    <w:p w14:paraId="3FD46DFE" w14:textId="77777777" w:rsidR="0083202C" w:rsidRPr="002D71B4" w:rsidRDefault="0083202C" w:rsidP="0083202C">
      <w:pPr>
        <w:pStyle w:val="ListParagraph"/>
        <w:numPr>
          <w:ilvl w:val="0"/>
          <w:numId w:val="5"/>
        </w:numPr>
        <w:jc w:val="both"/>
        <w:rPr>
          <w:rFonts w:ascii="Arial" w:hAnsi="Arial" w:cs="Arial"/>
          <w:sz w:val="16"/>
          <w:szCs w:val="16"/>
        </w:rPr>
      </w:pPr>
      <w:r w:rsidRPr="002D71B4">
        <w:rPr>
          <w:rFonts w:ascii="Arial" w:hAnsi="Arial" w:cs="Arial"/>
          <w:sz w:val="16"/>
          <w:szCs w:val="16"/>
        </w:rPr>
        <w:t xml:space="preserve">Operating surplus </w:t>
      </w:r>
      <w:r>
        <w:rPr>
          <w:rFonts w:ascii="Arial" w:hAnsi="Arial" w:cs="Arial"/>
          <w:sz w:val="16"/>
          <w:szCs w:val="16"/>
        </w:rPr>
        <w:t xml:space="preserve">includes </w:t>
      </w:r>
      <w:r w:rsidRPr="0085553A">
        <w:rPr>
          <w:rFonts w:ascii="Arial" w:hAnsi="Arial" w:cs="Arial"/>
          <w:sz w:val="16"/>
          <w:szCs w:val="16"/>
        </w:rPr>
        <w:t xml:space="preserve">first tranche and outright sales </w:t>
      </w:r>
      <w:r>
        <w:rPr>
          <w:rFonts w:ascii="Arial" w:hAnsi="Arial" w:cs="Arial"/>
          <w:sz w:val="16"/>
          <w:szCs w:val="16"/>
        </w:rPr>
        <w:t xml:space="preserve">of newly developed properties but </w:t>
      </w:r>
      <w:r w:rsidRPr="002D71B4">
        <w:rPr>
          <w:rFonts w:ascii="Arial" w:hAnsi="Arial" w:cs="Arial"/>
          <w:sz w:val="16"/>
          <w:szCs w:val="16"/>
        </w:rPr>
        <w:t>exclud</w:t>
      </w:r>
      <w:r>
        <w:rPr>
          <w:rFonts w:ascii="Arial" w:hAnsi="Arial" w:cs="Arial"/>
          <w:sz w:val="16"/>
          <w:szCs w:val="16"/>
        </w:rPr>
        <w:t>es</w:t>
      </w:r>
      <w:r w:rsidRPr="002D71B4">
        <w:rPr>
          <w:rFonts w:ascii="Arial" w:hAnsi="Arial" w:cs="Arial"/>
          <w:sz w:val="16"/>
          <w:szCs w:val="16"/>
        </w:rPr>
        <w:t xml:space="preserve"> </w:t>
      </w:r>
      <w:r>
        <w:rPr>
          <w:rFonts w:ascii="Arial" w:hAnsi="Arial" w:cs="Arial"/>
          <w:sz w:val="16"/>
          <w:szCs w:val="16"/>
        </w:rPr>
        <w:t xml:space="preserve">other </w:t>
      </w:r>
      <w:r w:rsidRPr="002D71B4">
        <w:rPr>
          <w:rFonts w:ascii="Arial" w:hAnsi="Arial" w:cs="Arial"/>
          <w:sz w:val="16"/>
          <w:szCs w:val="16"/>
        </w:rPr>
        <w:t>gains on property sales</w:t>
      </w:r>
      <w:r>
        <w:rPr>
          <w:rFonts w:ascii="Arial" w:hAnsi="Arial" w:cs="Arial"/>
          <w:sz w:val="16"/>
          <w:szCs w:val="16"/>
        </w:rPr>
        <w:t>.</w:t>
      </w:r>
    </w:p>
    <w:p w14:paraId="538C7EEA" w14:textId="77777777" w:rsidR="0083202C" w:rsidRPr="002D71B4" w:rsidRDefault="0083202C" w:rsidP="0083202C">
      <w:pPr>
        <w:pStyle w:val="ListParagraph"/>
        <w:numPr>
          <w:ilvl w:val="0"/>
          <w:numId w:val="5"/>
        </w:numPr>
        <w:jc w:val="both"/>
        <w:rPr>
          <w:rFonts w:ascii="Arial" w:hAnsi="Arial" w:cs="Arial"/>
          <w:sz w:val="16"/>
          <w:szCs w:val="16"/>
        </w:rPr>
      </w:pPr>
      <w:r w:rsidRPr="009506ED">
        <w:rPr>
          <w:rFonts w:ascii="Arial" w:hAnsi="Arial" w:cs="Arial"/>
          <w:sz w:val="16"/>
          <w:szCs w:val="16"/>
        </w:rPr>
        <w:t xml:space="preserve">Gearing </w:t>
      </w:r>
      <w:r w:rsidRPr="002D71B4">
        <w:rPr>
          <w:rFonts w:ascii="Arial" w:hAnsi="Arial" w:cs="Arial"/>
          <w:sz w:val="16"/>
          <w:szCs w:val="16"/>
        </w:rPr>
        <w:t xml:space="preserve">calculated </w:t>
      </w:r>
      <w:r>
        <w:rPr>
          <w:rFonts w:ascii="Arial" w:hAnsi="Arial" w:cs="Arial"/>
          <w:sz w:val="16"/>
          <w:szCs w:val="16"/>
        </w:rPr>
        <w:t>using</w:t>
      </w:r>
      <w:r w:rsidRPr="002D71B4">
        <w:rPr>
          <w:rFonts w:ascii="Arial" w:hAnsi="Arial" w:cs="Arial"/>
          <w:sz w:val="16"/>
          <w:szCs w:val="16"/>
        </w:rPr>
        <w:t xml:space="preserve"> the Regulator of Social Housing’s gearing metric; adjusting for the value of private finance initiative and public private partnership assets, primarily within Oldham Retirement Housing Partnership Limited</w:t>
      </w:r>
      <w:r w:rsidRPr="004D67D0">
        <w:rPr>
          <w:rFonts w:ascii="Arial" w:hAnsi="Arial" w:cs="Arial"/>
          <w:sz w:val="16"/>
          <w:szCs w:val="16"/>
        </w:rPr>
        <w:t xml:space="preserve">, gearing was </w:t>
      </w:r>
      <w:r w:rsidRPr="00447C94">
        <w:rPr>
          <w:rFonts w:ascii="Arial" w:hAnsi="Arial" w:cs="Arial"/>
          <w:sz w:val="16"/>
          <w:szCs w:val="16"/>
        </w:rPr>
        <w:t>31.9% (31 March 2021: 32.2%)</w:t>
      </w:r>
      <w:r>
        <w:rPr>
          <w:rFonts w:ascii="Arial" w:hAnsi="Arial" w:cs="Arial"/>
          <w:sz w:val="16"/>
          <w:szCs w:val="16"/>
        </w:rPr>
        <w:t>.</w:t>
      </w:r>
    </w:p>
    <w:p w14:paraId="4FEDC873" w14:textId="77777777" w:rsidR="0083202C" w:rsidRPr="002D71B4" w:rsidRDefault="0083202C" w:rsidP="0083202C">
      <w:pPr>
        <w:pStyle w:val="ListParagraph"/>
        <w:numPr>
          <w:ilvl w:val="0"/>
          <w:numId w:val="5"/>
        </w:numPr>
        <w:jc w:val="both"/>
        <w:rPr>
          <w:rFonts w:ascii="Arial" w:hAnsi="Arial" w:cs="Arial"/>
          <w:sz w:val="16"/>
          <w:szCs w:val="16"/>
        </w:rPr>
      </w:pPr>
      <w:r w:rsidRPr="002D71B4">
        <w:rPr>
          <w:rFonts w:ascii="Arial" w:hAnsi="Arial" w:cs="Arial"/>
          <w:sz w:val="16"/>
          <w:szCs w:val="16"/>
        </w:rPr>
        <w:t xml:space="preserve">EBITDA-MRI interest cover is in respect of the </w:t>
      </w:r>
      <w:r>
        <w:rPr>
          <w:rFonts w:ascii="Arial" w:hAnsi="Arial" w:cs="Arial"/>
          <w:sz w:val="16"/>
          <w:szCs w:val="16"/>
        </w:rPr>
        <w:t>6</w:t>
      </w:r>
      <w:r w:rsidRPr="002D71B4">
        <w:rPr>
          <w:rFonts w:ascii="Arial" w:hAnsi="Arial" w:cs="Arial"/>
          <w:sz w:val="16"/>
          <w:szCs w:val="16"/>
        </w:rPr>
        <w:t xml:space="preserve"> months ended 30 September</w:t>
      </w:r>
      <w:r>
        <w:rPr>
          <w:rFonts w:ascii="Arial" w:hAnsi="Arial" w:cs="Arial"/>
          <w:sz w:val="16"/>
          <w:szCs w:val="16"/>
        </w:rPr>
        <w:t>.</w:t>
      </w:r>
    </w:p>
    <w:p w14:paraId="702FBDC3" w14:textId="77777777" w:rsidR="0083202C" w:rsidRDefault="0083202C" w:rsidP="0083202C">
      <w:pPr>
        <w:jc w:val="both"/>
        <w:rPr>
          <w:rFonts w:cs="Arial"/>
        </w:rPr>
      </w:pPr>
    </w:p>
    <w:p w14:paraId="728FE7CF" w14:textId="77777777" w:rsidR="0083202C" w:rsidRPr="00281460" w:rsidRDefault="0083202C" w:rsidP="0083202C">
      <w:pPr>
        <w:jc w:val="both"/>
        <w:rPr>
          <w:rFonts w:cs="Arial"/>
        </w:rPr>
      </w:pPr>
    </w:p>
    <w:p w14:paraId="15BCE7B6" w14:textId="77777777" w:rsidR="0083202C" w:rsidRPr="00B63BDA" w:rsidRDefault="0083202C" w:rsidP="004474C6">
      <w:pPr>
        <w:pStyle w:val="rn"/>
        <w:spacing w:before="0" w:beforeAutospacing="0" w:after="120" w:afterAutospacing="0"/>
        <w:jc w:val="center"/>
        <w:rPr>
          <w:rFonts w:ascii="Arial" w:hAnsi="Arial" w:cs="Arial"/>
          <w:b/>
          <w:bCs/>
          <w:color w:val="16202C"/>
          <w:sz w:val="20"/>
          <w:szCs w:val="20"/>
        </w:rPr>
      </w:pPr>
      <w:r w:rsidRPr="00B63BDA">
        <w:rPr>
          <w:rStyle w:val="qw"/>
          <w:rFonts w:ascii="Arial" w:hAnsi="Arial" w:cs="Arial"/>
          <w:b/>
          <w:bCs/>
          <w:color w:val="16202C"/>
          <w:sz w:val="20"/>
          <w:szCs w:val="20"/>
        </w:rPr>
        <w:t>Conference call for the credit community to be hosted by</w:t>
      </w:r>
    </w:p>
    <w:p w14:paraId="4C9D3D4C" w14:textId="77777777" w:rsidR="0083202C" w:rsidRPr="008734E7" w:rsidRDefault="0083202C" w:rsidP="004474C6">
      <w:pPr>
        <w:pStyle w:val="rn"/>
        <w:spacing w:before="0" w:beforeAutospacing="0" w:after="120" w:afterAutospacing="0"/>
        <w:jc w:val="center"/>
        <w:rPr>
          <w:rFonts w:ascii="Arial" w:hAnsi="Arial" w:cs="Arial"/>
          <w:color w:val="16202C"/>
          <w:sz w:val="20"/>
          <w:szCs w:val="20"/>
        </w:rPr>
      </w:pPr>
      <w:r w:rsidRPr="008734E7">
        <w:rPr>
          <w:rStyle w:val="qw"/>
          <w:rFonts w:ascii="Arial" w:hAnsi="Arial" w:cs="Arial"/>
          <w:color w:val="16202C"/>
          <w:sz w:val="20"/>
          <w:szCs w:val="20"/>
        </w:rPr>
        <w:t>Tony Tench, Deputy Chief Executive; and Andy Howarth, Chief Financial Officer</w:t>
      </w:r>
    </w:p>
    <w:p w14:paraId="4F18BD30" w14:textId="77777777" w:rsidR="0083202C" w:rsidRPr="008734E7" w:rsidRDefault="0083202C" w:rsidP="004474C6">
      <w:pPr>
        <w:pStyle w:val="rn"/>
        <w:spacing w:before="0" w:beforeAutospacing="0" w:after="120" w:afterAutospacing="0"/>
        <w:jc w:val="center"/>
        <w:rPr>
          <w:rStyle w:val="qw"/>
          <w:rFonts w:ascii="Arial" w:hAnsi="Arial" w:cs="Arial"/>
          <w:color w:val="16202C"/>
          <w:sz w:val="20"/>
          <w:szCs w:val="20"/>
        </w:rPr>
      </w:pPr>
      <w:r w:rsidRPr="00B63BDA">
        <w:rPr>
          <w:rStyle w:val="qw"/>
          <w:rFonts w:ascii="Arial" w:hAnsi="Arial" w:cs="Arial"/>
          <w:b/>
          <w:bCs/>
          <w:color w:val="16202C"/>
          <w:sz w:val="20"/>
          <w:szCs w:val="20"/>
        </w:rPr>
        <w:t>29 November 2021, 2.00pm</w:t>
      </w:r>
      <w:r w:rsidRPr="008734E7">
        <w:rPr>
          <w:rStyle w:val="qw"/>
          <w:rFonts w:ascii="Arial" w:hAnsi="Arial" w:cs="Arial"/>
          <w:color w:val="16202C"/>
          <w:sz w:val="20"/>
          <w:szCs w:val="20"/>
        </w:rPr>
        <w:t xml:space="preserve"> (UK time)</w:t>
      </w:r>
    </w:p>
    <w:p w14:paraId="527B8094" w14:textId="77777777" w:rsidR="0083202C" w:rsidRPr="008734E7" w:rsidRDefault="0083202C" w:rsidP="0083202C">
      <w:pPr>
        <w:pStyle w:val="rn"/>
        <w:spacing w:before="0" w:beforeAutospacing="0" w:after="0" w:afterAutospacing="0"/>
        <w:jc w:val="center"/>
        <w:rPr>
          <w:rStyle w:val="qw"/>
          <w:rFonts w:ascii="Arial" w:hAnsi="Arial" w:cs="Arial"/>
          <w:color w:val="16202C"/>
          <w:sz w:val="20"/>
          <w:szCs w:val="20"/>
        </w:rPr>
      </w:pPr>
    </w:p>
    <w:p w14:paraId="670095EA" w14:textId="77777777" w:rsidR="0083202C" w:rsidRPr="008734E7" w:rsidRDefault="0083202C" w:rsidP="0083202C">
      <w:pPr>
        <w:pStyle w:val="rn"/>
        <w:spacing w:before="0" w:beforeAutospacing="0" w:after="0" w:afterAutospacing="0"/>
        <w:jc w:val="center"/>
        <w:rPr>
          <w:rStyle w:val="qw"/>
          <w:rFonts w:ascii="Arial" w:hAnsi="Arial" w:cs="Arial"/>
          <w:color w:val="16202C"/>
          <w:sz w:val="20"/>
          <w:szCs w:val="20"/>
        </w:rPr>
      </w:pPr>
      <w:r w:rsidRPr="008734E7">
        <w:rPr>
          <w:rStyle w:val="qw"/>
          <w:rFonts w:ascii="Arial" w:hAnsi="Arial" w:cs="Arial"/>
          <w:color w:val="16202C"/>
          <w:sz w:val="20"/>
          <w:szCs w:val="20"/>
        </w:rPr>
        <w:t xml:space="preserve">and will also be available from 9.00am today by </w:t>
      </w:r>
      <w:r w:rsidRPr="008734E7">
        <w:rPr>
          <w:rStyle w:val="qw"/>
          <w:rFonts w:ascii="Arial" w:hAnsi="Arial" w:cs="Arial"/>
          <w:sz w:val="20"/>
          <w:szCs w:val="20"/>
        </w:rPr>
        <w:t>clicking on the ‘Investors presentation’ tab at</w:t>
      </w:r>
    </w:p>
    <w:p w14:paraId="138A75B1" w14:textId="721CC748" w:rsidR="0083202C" w:rsidRDefault="00093112" w:rsidP="0083202C">
      <w:pPr>
        <w:pStyle w:val="rn"/>
        <w:spacing w:before="0" w:beforeAutospacing="0" w:after="0" w:afterAutospacing="0"/>
        <w:jc w:val="center"/>
      </w:pPr>
      <w:hyperlink r:id="rId11" w:history="1">
        <w:r>
          <w:rPr>
            <w:rStyle w:val="Hyperlink"/>
          </w:rPr>
          <w:t>Housing 21 - Housing 21 - Investors corporate reports</w:t>
        </w:r>
      </w:hyperlink>
    </w:p>
    <w:p w14:paraId="55161A27" w14:textId="77777777" w:rsidR="00093112" w:rsidRPr="00281460" w:rsidRDefault="00093112" w:rsidP="0083202C">
      <w:pPr>
        <w:pStyle w:val="rn"/>
        <w:spacing w:before="0" w:beforeAutospacing="0" w:after="0" w:afterAutospacing="0"/>
        <w:jc w:val="center"/>
        <w:rPr>
          <w:rFonts w:ascii="Arial" w:hAnsi="Arial" w:cs="Arial"/>
          <w:color w:val="16202C"/>
          <w:sz w:val="20"/>
          <w:szCs w:val="20"/>
        </w:rPr>
      </w:pPr>
    </w:p>
    <w:tbl>
      <w:tblPr>
        <w:tblW w:w="9067" w:type="dxa"/>
        <w:tblInd w:w="-5" w:type="dxa"/>
        <w:tblCellMar>
          <w:left w:w="0" w:type="dxa"/>
          <w:right w:w="0" w:type="dxa"/>
        </w:tblCellMar>
        <w:tblLook w:val="04A0" w:firstRow="1" w:lastRow="0" w:firstColumn="1" w:lastColumn="0" w:noHBand="0" w:noVBand="1"/>
      </w:tblPr>
      <w:tblGrid>
        <w:gridCol w:w="4390"/>
        <w:gridCol w:w="4677"/>
      </w:tblGrid>
      <w:tr w:rsidR="0083202C" w:rsidRPr="00E5395B" w14:paraId="15CE0209" w14:textId="77777777" w:rsidTr="003B12CC">
        <w:tc>
          <w:tcPr>
            <w:tcW w:w="4390" w:type="dxa"/>
            <w:tcBorders>
              <w:top w:val="single" w:sz="8" w:space="0" w:color="auto"/>
              <w:left w:val="single" w:sz="8" w:space="0" w:color="auto"/>
              <w:bottom w:val="single" w:sz="8" w:space="0" w:color="auto"/>
              <w:right w:val="nil"/>
            </w:tcBorders>
            <w:hideMark/>
          </w:tcPr>
          <w:p w14:paraId="293310B8" w14:textId="77777777" w:rsidR="0083202C" w:rsidRPr="00E5395B" w:rsidRDefault="0083202C" w:rsidP="004462CC">
            <w:pPr>
              <w:pStyle w:val="ra"/>
              <w:spacing w:before="0" w:beforeAutospacing="0" w:after="0" w:afterAutospacing="0"/>
              <w:rPr>
                <w:rFonts w:ascii="Arial" w:hAnsi="Arial" w:cs="Arial"/>
                <w:sz w:val="20"/>
                <w:szCs w:val="20"/>
              </w:rPr>
            </w:pPr>
            <w:r w:rsidRPr="00E5395B">
              <w:rPr>
                <w:rStyle w:val="qw"/>
                <w:rFonts w:ascii="Arial" w:hAnsi="Arial" w:cs="Arial"/>
                <w:b/>
                <w:bCs/>
                <w:sz w:val="20"/>
                <w:szCs w:val="20"/>
              </w:rPr>
              <w:t>To join the roadshow:</w:t>
            </w:r>
          </w:p>
        </w:tc>
        <w:tc>
          <w:tcPr>
            <w:tcW w:w="4677" w:type="dxa"/>
            <w:tcBorders>
              <w:top w:val="single" w:sz="8" w:space="0" w:color="auto"/>
              <w:left w:val="nil"/>
              <w:bottom w:val="single" w:sz="8" w:space="0" w:color="auto"/>
              <w:right w:val="single" w:sz="8" w:space="0" w:color="auto"/>
            </w:tcBorders>
          </w:tcPr>
          <w:p w14:paraId="27153EA2" w14:textId="77777777" w:rsidR="0083202C" w:rsidRPr="00E5395B" w:rsidRDefault="0083202C" w:rsidP="005F0C6E">
            <w:pPr>
              <w:pStyle w:val="rb"/>
              <w:spacing w:before="0" w:beforeAutospacing="0" w:after="0" w:afterAutospacing="0"/>
              <w:jc w:val="right"/>
              <w:rPr>
                <w:rFonts w:ascii="Arial" w:hAnsi="Arial" w:cs="Arial"/>
                <w:sz w:val="20"/>
                <w:szCs w:val="20"/>
              </w:rPr>
            </w:pPr>
            <w:r w:rsidRPr="00E5395B">
              <w:rPr>
                <w:rStyle w:val="qw"/>
                <w:rFonts w:ascii="Arial" w:hAnsi="Arial" w:cs="Arial"/>
                <w:sz w:val="20"/>
                <w:szCs w:val="20"/>
              </w:rPr>
              <w:t xml:space="preserve">URL: </w:t>
            </w:r>
            <w:hyperlink r:id="rId12" w:tgtFrame="_blank" w:history="1">
              <w:r w:rsidRPr="00E5395B">
                <w:rPr>
                  <w:rStyle w:val="Hyperlink"/>
                  <w:rFonts w:ascii="Arial" w:hAnsi="Arial" w:cs="Arial"/>
                  <w:sz w:val="20"/>
                  <w:szCs w:val="20"/>
                  <w:shd w:val="clear" w:color="auto" w:fill="FFFFFF"/>
                </w:rPr>
                <w:t>https://dealroadshow.com</w:t>
              </w:r>
            </w:hyperlink>
          </w:p>
          <w:p w14:paraId="751093E1" w14:textId="77777777" w:rsidR="0083202C" w:rsidRPr="00E5395B" w:rsidRDefault="0083202C" w:rsidP="005F0C6E">
            <w:pPr>
              <w:pStyle w:val="rb"/>
              <w:spacing w:before="0" w:beforeAutospacing="0" w:after="0" w:afterAutospacing="0"/>
              <w:jc w:val="right"/>
              <w:rPr>
                <w:rFonts w:ascii="Arial" w:hAnsi="Arial" w:cs="Arial"/>
                <w:sz w:val="20"/>
                <w:szCs w:val="20"/>
              </w:rPr>
            </w:pPr>
            <w:r w:rsidRPr="00E5395B">
              <w:rPr>
                <w:rStyle w:val="Hyperlink"/>
                <w:rFonts w:ascii="Arial" w:hAnsi="Arial" w:cs="Arial"/>
                <w:color w:val="auto"/>
                <w:sz w:val="20"/>
                <w:szCs w:val="20"/>
                <w:u w:val="none"/>
              </w:rPr>
              <w:t>Entry code: HOUSE21</w:t>
            </w:r>
          </w:p>
          <w:p w14:paraId="18062670" w14:textId="77777777" w:rsidR="0083202C" w:rsidRPr="00E5395B" w:rsidRDefault="0083202C" w:rsidP="005F0C6E">
            <w:pPr>
              <w:pStyle w:val="ri"/>
              <w:spacing w:before="0" w:beforeAutospacing="0" w:after="0" w:afterAutospacing="0"/>
              <w:jc w:val="right"/>
              <w:rPr>
                <w:rFonts w:ascii="Arial" w:hAnsi="Arial" w:cs="Arial"/>
                <w:sz w:val="20"/>
                <w:szCs w:val="20"/>
              </w:rPr>
            </w:pPr>
            <w:r w:rsidRPr="00E5395B">
              <w:rPr>
                <w:rStyle w:val="qw"/>
                <w:rFonts w:ascii="Arial" w:hAnsi="Arial" w:cs="Arial"/>
                <w:sz w:val="20"/>
                <w:szCs w:val="20"/>
              </w:rPr>
              <w:t xml:space="preserve">Direct link: </w:t>
            </w:r>
            <w:hyperlink r:id="rId13" w:tgtFrame="_blank" w:history="1">
              <w:r w:rsidRPr="00E5395B">
                <w:rPr>
                  <w:rStyle w:val="Hyperlink"/>
                  <w:rFonts w:ascii="Arial" w:hAnsi="Arial" w:cs="Arial"/>
                  <w:sz w:val="20"/>
                  <w:szCs w:val="20"/>
                  <w:shd w:val="clear" w:color="auto" w:fill="FFFFFF"/>
                </w:rPr>
                <w:t>https://dealroadshow.com/e/HOUSE21</w:t>
              </w:r>
            </w:hyperlink>
          </w:p>
          <w:p w14:paraId="3EFD485E" w14:textId="77777777" w:rsidR="0083202C" w:rsidRPr="00E5395B" w:rsidRDefault="0083202C" w:rsidP="005F0C6E">
            <w:pPr>
              <w:pStyle w:val="rj"/>
              <w:spacing w:before="0" w:beforeAutospacing="0" w:after="0" w:afterAutospacing="0"/>
              <w:jc w:val="center"/>
              <w:rPr>
                <w:rFonts w:ascii="Arial" w:hAnsi="Arial" w:cs="Arial"/>
                <w:sz w:val="20"/>
                <w:szCs w:val="20"/>
              </w:rPr>
            </w:pPr>
          </w:p>
        </w:tc>
      </w:tr>
      <w:tr w:rsidR="0083202C" w:rsidRPr="00E5395B" w14:paraId="14B162A5" w14:textId="77777777" w:rsidTr="003B12CC">
        <w:tc>
          <w:tcPr>
            <w:tcW w:w="4390" w:type="dxa"/>
            <w:tcBorders>
              <w:top w:val="single" w:sz="8" w:space="0" w:color="auto"/>
              <w:left w:val="single" w:sz="8" w:space="0" w:color="auto"/>
              <w:bottom w:val="single" w:sz="8" w:space="0" w:color="auto"/>
              <w:right w:val="nil"/>
            </w:tcBorders>
          </w:tcPr>
          <w:p w14:paraId="1B30DC7A" w14:textId="77777777" w:rsidR="0083202C" w:rsidRPr="00E5395B" w:rsidRDefault="0083202C" w:rsidP="004462CC">
            <w:pPr>
              <w:pStyle w:val="ra"/>
              <w:spacing w:before="0" w:beforeAutospacing="0" w:after="0" w:afterAutospacing="0"/>
              <w:rPr>
                <w:rStyle w:val="qw"/>
                <w:rFonts w:ascii="Arial" w:hAnsi="Arial" w:cs="Arial"/>
                <w:b/>
                <w:bCs/>
                <w:sz w:val="20"/>
                <w:szCs w:val="20"/>
              </w:rPr>
            </w:pPr>
            <w:r w:rsidRPr="00E5395B">
              <w:rPr>
                <w:rFonts w:ascii="Arial" w:hAnsi="Arial" w:cs="Arial"/>
                <w:b/>
                <w:sz w:val="20"/>
                <w:szCs w:val="20"/>
                <w:shd w:val="clear" w:color="auto" w:fill="FFFFFF"/>
              </w:rPr>
              <w:t>If you are unable to join via the roadshow, you may dial into one of the numbers opposite to connect to a Live Operator</w:t>
            </w:r>
          </w:p>
        </w:tc>
        <w:tc>
          <w:tcPr>
            <w:tcW w:w="4677" w:type="dxa"/>
            <w:tcBorders>
              <w:top w:val="single" w:sz="8" w:space="0" w:color="auto"/>
              <w:left w:val="nil"/>
              <w:bottom w:val="single" w:sz="8" w:space="0" w:color="auto"/>
              <w:right w:val="single" w:sz="8" w:space="0" w:color="auto"/>
            </w:tcBorders>
          </w:tcPr>
          <w:p w14:paraId="3C86F98E" w14:textId="77777777" w:rsidR="0083202C" w:rsidRPr="00E5395B" w:rsidRDefault="0083202C" w:rsidP="005F0C6E">
            <w:pPr>
              <w:pStyle w:val="ri"/>
              <w:spacing w:before="0" w:beforeAutospacing="0" w:after="0" w:afterAutospacing="0"/>
              <w:jc w:val="right"/>
              <w:rPr>
                <w:rFonts w:ascii="Arial" w:hAnsi="Arial" w:cs="Arial"/>
                <w:sz w:val="20"/>
                <w:szCs w:val="20"/>
                <w:shd w:val="clear" w:color="auto" w:fill="FFFFFF"/>
              </w:rPr>
            </w:pPr>
            <w:r w:rsidRPr="00E5395B">
              <w:rPr>
                <w:rFonts w:ascii="Arial" w:hAnsi="Arial" w:cs="Arial"/>
                <w:sz w:val="20"/>
                <w:szCs w:val="20"/>
                <w:shd w:val="clear" w:color="auto" w:fill="FFFFFF"/>
              </w:rPr>
              <w:t>+44 203-925-3582</w:t>
            </w:r>
          </w:p>
          <w:p w14:paraId="21209022" w14:textId="77777777" w:rsidR="0083202C" w:rsidRPr="00E5395B" w:rsidRDefault="0083202C" w:rsidP="005F0C6E">
            <w:pPr>
              <w:pStyle w:val="ri"/>
              <w:spacing w:before="0" w:beforeAutospacing="0" w:after="0" w:afterAutospacing="0"/>
              <w:jc w:val="right"/>
              <w:rPr>
                <w:rFonts w:ascii="Arial" w:hAnsi="Arial" w:cs="Arial"/>
                <w:sz w:val="20"/>
                <w:szCs w:val="20"/>
                <w:shd w:val="clear" w:color="auto" w:fill="FFFFFF"/>
              </w:rPr>
            </w:pPr>
            <w:r w:rsidRPr="00E5395B">
              <w:rPr>
                <w:rFonts w:ascii="Arial" w:hAnsi="Arial" w:cs="Arial"/>
                <w:sz w:val="20"/>
                <w:szCs w:val="20"/>
                <w:shd w:val="clear" w:color="auto" w:fill="FFFFFF"/>
              </w:rPr>
              <w:t>or +44 333-016-4329</w:t>
            </w:r>
          </w:p>
          <w:p w14:paraId="79463021" w14:textId="77777777" w:rsidR="0083202C" w:rsidRPr="00E5395B" w:rsidRDefault="0083202C" w:rsidP="005F0C6E">
            <w:pPr>
              <w:pStyle w:val="ri"/>
              <w:spacing w:before="0" w:beforeAutospacing="0" w:after="0" w:afterAutospacing="0"/>
              <w:jc w:val="right"/>
              <w:rPr>
                <w:rStyle w:val="qw"/>
                <w:rFonts w:ascii="Arial" w:hAnsi="Arial" w:cs="Arial"/>
                <w:b/>
                <w:bCs/>
                <w:sz w:val="20"/>
                <w:szCs w:val="20"/>
              </w:rPr>
            </w:pPr>
            <w:r w:rsidRPr="00E5395B">
              <w:rPr>
                <w:rFonts w:ascii="Arial" w:hAnsi="Arial" w:cs="Arial"/>
                <w:sz w:val="20"/>
                <w:szCs w:val="20"/>
                <w:shd w:val="clear" w:color="auto" w:fill="FFFFFF"/>
              </w:rPr>
              <w:t>Conference ID: 83933</w:t>
            </w:r>
          </w:p>
        </w:tc>
      </w:tr>
      <w:tr w:rsidR="004462CC" w:rsidRPr="00E5395B" w14:paraId="55B1B549" w14:textId="77777777" w:rsidTr="003B12CC">
        <w:tc>
          <w:tcPr>
            <w:tcW w:w="4390" w:type="dxa"/>
            <w:tcBorders>
              <w:top w:val="single" w:sz="8" w:space="0" w:color="auto"/>
              <w:left w:val="single" w:sz="8" w:space="0" w:color="auto"/>
              <w:bottom w:val="single" w:sz="8" w:space="0" w:color="auto"/>
              <w:right w:val="nil"/>
            </w:tcBorders>
          </w:tcPr>
          <w:p w14:paraId="2A47B759" w14:textId="77777777" w:rsidR="004462CC" w:rsidRPr="0011751B" w:rsidRDefault="004462CC" w:rsidP="004462CC">
            <w:pPr>
              <w:pStyle w:val="rc"/>
              <w:spacing w:before="0" w:beforeAutospacing="0" w:after="0" w:afterAutospacing="0"/>
              <w:jc w:val="both"/>
              <w:rPr>
                <w:rFonts w:ascii="Arial" w:hAnsi="Arial" w:cs="Arial"/>
                <w:b/>
                <w:bCs/>
                <w:color w:val="16202C"/>
                <w:sz w:val="20"/>
                <w:szCs w:val="20"/>
              </w:rPr>
            </w:pPr>
            <w:r w:rsidRPr="0011751B">
              <w:rPr>
                <w:rStyle w:val="qw"/>
                <w:rFonts w:ascii="Arial" w:hAnsi="Arial" w:cs="Arial"/>
                <w:b/>
                <w:bCs/>
                <w:color w:val="16202C"/>
                <w:sz w:val="20"/>
                <w:szCs w:val="20"/>
              </w:rPr>
              <w:t>Investor enquiries</w:t>
            </w:r>
          </w:p>
          <w:p w14:paraId="29647FE1" w14:textId="0B28DDE8" w:rsidR="004462CC" w:rsidRPr="00E5395B" w:rsidRDefault="003662B7" w:rsidP="004462CC">
            <w:pPr>
              <w:pStyle w:val="ra"/>
              <w:spacing w:before="0" w:beforeAutospacing="0" w:after="0" w:afterAutospacing="0"/>
              <w:rPr>
                <w:rFonts w:ascii="Arial" w:hAnsi="Arial" w:cs="Arial"/>
                <w:b/>
                <w:sz w:val="20"/>
                <w:szCs w:val="20"/>
                <w:shd w:val="clear" w:color="auto" w:fill="FFFFFF"/>
              </w:rPr>
            </w:pPr>
            <w:hyperlink r:id="rId14" w:history="1">
              <w:r w:rsidR="000159E4" w:rsidRPr="002550AC">
                <w:rPr>
                  <w:rStyle w:val="Hyperlink"/>
                  <w:rFonts w:ascii="Arial" w:hAnsi="Arial" w:cs="Arial"/>
                  <w:sz w:val="20"/>
                  <w:szCs w:val="20"/>
                </w:rPr>
                <w:t>andy.howarth@housing21.org.uk</w:t>
              </w:r>
            </w:hyperlink>
            <w:r w:rsidR="000159E4">
              <w:rPr>
                <w:rStyle w:val="qw"/>
                <w:rFonts w:ascii="Arial" w:hAnsi="Arial" w:cs="Arial"/>
                <w:color w:val="16202C"/>
                <w:sz w:val="20"/>
                <w:szCs w:val="20"/>
              </w:rPr>
              <w:t xml:space="preserve"> </w:t>
            </w:r>
          </w:p>
        </w:tc>
        <w:tc>
          <w:tcPr>
            <w:tcW w:w="4677" w:type="dxa"/>
            <w:tcBorders>
              <w:top w:val="single" w:sz="8" w:space="0" w:color="auto"/>
              <w:left w:val="nil"/>
              <w:bottom w:val="single" w:sz="8" w:space="0" w:color="auto"/>
              <w:right w:val="single" w:sz="8" w:space="0" w:color="auto"/>
            </w:tcBorders>
          </w:tcPr>
          <w:p w14:paraId="007D3290" w14:textId="77777777" w:rsidR="004462CC" w:rsidRPr="0011751B" w:rsidRDefault="004462CC" w:rsidP="004462CC">
            <w:pPr>
              <w:pStyle w:val="ri"/>
              <w:spacing w:before="0" w:beforeAutospacing="0" w:after="0" w:afterAutospacing="0"/>
              <w:jc w:val="right"/>
              <w:rPr>
                <w:rFonts w:ascii="Arial" w:hAnsi="Arial" w:cs="Arial"/>
                <w:b/>
                <w:bCs/>
                <w:color w:val="16202C"/>
                <w:sz w:val="20"/>
                <w:szCs w:val="20"/>
              </w:rPr>
            </w:pPr>
            <w:r w:rsidRPr="0011751B">
              <w:rPr>
                <w:rStyle w:val="qw"/>
                <w:rFonts w:ascii="Arial" w:hAnsi="Arial" w:cs="Arial"/>
                <w:b/>
                <w:bCs/>
                <w:color w:val="16202C"/>
                <w:sz w:val="20"/>
                <w:szCs w:val="20"/>
              </w:rPr>
              <w:t>Media enquiries</w:t>
            </w:r>
          </w:p>
          <w:p w14:paraId="0F8AAA3E" w14:textId="129F5768" w:rsidR="004462CC" w:rsidRPr="00E5395B" w:rsidRDefault="003662B7" w:rsidP="004462CC">
            <w:pPr>
              <w:pStyle w:val="ri"/>
              <w:spacing w:before="0" w:beforeAutospacing="0" w:after="0" w:afterAutospacing="0"/>
              <w:jc w:val="right"/>
              <w:rPr>
                <w:rFonts w:ascii="Arial" w:hAnsi="Arial" w:cs="Arial"/>
                <w:sz w:val="20"/>
                <w:szCs w:val="20"/>
                <w:shd w:val="clear" w:color="auto" w:fill="FFFFFF"/>
              </w:rPr>
            </w:pPr>
            <w:hyperlink r:id="rId15" w:history="1">
              <w:r w:rsidR="000159E4" w:rsidRPr="002550AC">
                <w:rPr>
                  <w:rStyle w:val="Hyperlink"/>
                  <w:rFonts w:ascii="Arial" w:hAnsi="Arial" w:cs="Arial"/>
                  <w:sz w:val="20"/>
                  <w:szCs w:val="20"/>
                </w:rPr>
                <w:t>communications@housing21.org.uk</w:t>
              </w:r>
            </w:hyperlink>
            <w:r w:rsidR="000159E4">
              <w:rPr>
                <w:rStyle w:val="qw"/>
                <w:rFonts w:ascii="Arial" w:hAnsi="Arial" w:cs="Arial"/>
                <w:color w:val="16202C"/>
                <w:sz w:val="20"/>
                <w:szCs w:val="20"/>
              </w:rPr>
              <w:t xml:space="preserve"> </w:t>
            </w:r>
          </w:p>
        </w:tc>
      </w:tr>
    </w:tbl>
    <w:p w14:paraId="50568BF8" w14:textId="77777777" w:rsidR="00F6293E" w:rsidRDefault="00F6293E" w:rsidP="0083202C">
      <w:pPr>
        <w:pStyle w:val="rd"/>
        <w:spacing w:before="0" w:beforeAutospacing="0" w:after="0" w:afterAutospacing="0"/>
        <w:jc w:val="both"/>
        <w:rPr>
          <w:rStyle w:val="pm"/>
          <w:rFonts w:ascii="Arial" w:hAnsi="Arial" w:cs="Arial"/>
          <w:b/>
          <w:color w:val="16202C"/>
          <w:sz w:val="18"/>
          <w:szCs w:val="18"/>
        </w:rPr>
      </w:pPr>
    </w:p>
    <w:p w14:paraId="0BB8ECF4" w14:textId="77777777" w:rsidR="0083202C" w:rsidRPr="005D3847" w:rsidRDefault="0083202C" w:rsidP="0083202C">
      <w:pPr>
        <w:pStyle w:val="rd"/>
        <w:spacing w:before="0" w:beforeAutospacing="0" w:after="0" w:afterAutospacing="0"/>
        <w:jc w:val="both"/>
        <w:rPr>
          <w:rFonts w:ascii="Arial" w:hAnsi="Arial" w:cs="Arial"/>
          <w:b/>
          <w:color w:val="16202C"/>
          <w:sz w:val="18"/>
          <w:szCs w:val="18"/>
        </w:rPr>
      </w:pPr>
      <w:r w:rsidRPr="005D3847">
        <w:rPr>
          <w:rStyle w:val="pm"/>
          <w:rFonts w:ascii="Arial" w:hAnsi="Arial" w:cs="Arial"/>
          <w:b/>
          <w:color w:val="16202C"/>
          <w:sz w:val="18"/>
          <w:szCs w:val="18"/>
        </w:rPr>
        <w:t>Disclaimer</w:t>
      </w:r>
    </w:p>
    <w:p w14:paraId="50670F67" w14:textId="77777777" w:rsidR="0083202C" w:rsidRPr="005D3847" w:rsidRDefault="0083202C" w:rsidP="0083202C">
      <w:pPr>
        <w:pStyle w:val="rq"/>
        <w:spacing w:before="0" w:beforeAutospacing="0" w:after="0" w:afterAutospacing="0"/>
        <w:jc w:val="both"/>
        <w:rPr>
          <w:rFonts w:ascii="Arial" w:hAnsi="Arial" w:cs="Arial"/>
          <w:color w:val="16202C"/>
          <w:sz w:val="16"/>
          <w:szCs w:val="16"/>
        </w:rPr>
      </w:pPr>
      <w:r w:rsidRPr="005D3847">
        <w:rPr>
          <w:rStyle w:val="pl"/>
          <w:rFonts w:ascii="Arial" w:hAnsi="Arial" w:cs="Arial"/>
          <w:color w:val="000000"/>
          <w:sz w:val="16"/>
          <w:szCs w:val="16"/>
        </w:rPr>
        <w:t xml:space="preserve">These materials have been prepared by Housing 21 solely for use in publishing and presenting its results in respect of the six months ended 30 September 2021. For the purposes of this disclaimer, "materials" shall mean the results press release and </w:t>
      </w:r>
      <w:r w:rsidRPr="005D3847">
        <w:rPr>
          <w:rStyle w:val="pl"/>
          <w:rFonts w:ascii="Arial" w:hAnsi="Arial" w:cs="Arial"/>
          <w:color w:val="000000"/>
          <w:sz w:val="16"/>
          <w:szCs w:val="16"/>
        </w:rPr>
        <w:lastRenderedPageBreak/>
        <w:t xml:space="preserve">related investor presentation slides dated </w:t>
      </w:r>
      <w:r>
        <w:rPr>
          <w:rFonts w:ascii="Arial" w:hAnsi="Arial" w:cs="Arial"/>
          <w:sz w:val="16"/>
          <w:szCs w:val="16"/>
        </w:rPr>
        <w:t>29</w:t>
      </w:r>
      <w:r w:rsidRPr="005D3847">
        <w:rPr>
          <w:rStyle w:val="pl"/>
          <w:rFonts w:ascii="Arial" w:hAnsi="Arial" w:cs="Arial"/>
          <w:color w:val="000000"/>
          <w:sz w:val="16"/>
          <w:szCs w:val="16"/>
        </w:rPr>
        <w:t xml:space="preserve"> November 2021, the oral presentation of the slides by Housing 21 and related question-and-answer session and any materials distributed at, or in connection with, that presentation.</w:t>
      </w:r>
    </w:p>
    <w:p w14:paraId="1CC6B631" w14:textId="77777777" w:rsidR="0083202C" w:rsidRPr="005D3847" w:rsidRDefault="0083202C" w:rsidP="0083202C">
      <w:pPr>
        <w:pStyle w:val="rd"/>
        <w:spacing w:before="0" w:beforeAutospacing="0" w:after="0" w:afterAutospacing="0"/>
        <w:jc w:val="both"/>
        <w:rPr>
          <w:rFonts w:ascii="Arial" w:hAnsi="Arial" w:cs="Arial"/>
          <w:color w:val="16202C"/>
          <w:sz w:val="16"/>
          <w:szCs w:val="16"/>
        </w:rPr>
      </w:pPr>
    </w:p>
    <w:p w14:paraId="0E482C21" w14:textId="77777777" w:rsidR="0083202C" w:rsidRPr="005D3847" w:rsidRDefault="0083202C" w:rsidP="0083202C">
      <w:pPr>
        <w:pStyle w:val="rd"/>
        <w:spacing w:before="0" w:beforeAutospacing="0" w:after="0" w:afterAutospacing="0"/>
        <w:jc w:val="both"/>
        <w:rPr>
          <w:rFonts w:ascii="Arial" w:hAnsi="Arial" w:cs="Arial"/>
          <w:color w:val="16202C"/>
          <w:sz w:val="16"/>
          <w:szCs w:val="16"/>
        </w:rPr>
      </w:pPr>
      <w:r w:rsidRPr="005D3847">
        <w:rPr>
          <w:rStyle w:val="pj"/>
          <w:rFonts w:ascii="Arial" w:hAnsi="Arial" w:cs="Arial"/>
          <w:color w:val="000000"/>
          <w:sz w:val="16"/>
          <w:szCs w:val="16"/>
        </w:rPr>
        <w:t xml:space="preserve">These materials do not constitute or form part of and should not be construed as, an offer to sell or issue, or the solicitation of an offer to buy or acquire securities of Housing 21 in any jurisdiction or an inducement to enter into investment activity. No part of these materials, nor the fact of their distribution, should form the basis of, or be relied on or in connection with, any contract or commitment or investment decision whatsoever. </w:t>
      </w:r>
      <w:r w:rsidRPr="005D3847">
        <w:rPr>
          <w:rStyle w:val="pi"/>
          <w:rFonts w:ascii="Arial" w:hAnsi="Arial" w:cs="Arial"/>
          <w:color w:val="262626"/>
          <w:sz w:val="16"/>
          <w:szCs w:val="16"/>
        </w:rPr>
        <w:t>Neither should the materials be construed as legal, tax, financial, investment or accounting advice.</w:t>
      </w:r>
    </w:p>
    <w:p w14:paraId="01D1958E" w14:textId="77777777" w:rsidR="0083202C" w:rsidRPr="005D3847" w:rsidRDefault="0083202C" w:rsidP="0083202C">
      <w:pPr>
        <w:pStyle w:val="rq"/>
        <w:spacing w:before="0" w:beforeAutospacing="0" w:after="0" w:afterAutospacing="0"/>
        <w:jc w:val="both"/>
        <w:rPr>
          <w:rFonts w:ascii="Arial" w:hAnsi="Arial" w:cs="Arial"/>
          <w:color w:val="16202C"/>
          <w:sz w:val="16"/>
          <w:szCs w:val="16"/>
        </w:rPr>
      </w:pPr>
    </w:p>
    <w:p w14:paraId="60631877" w14:textId="77777777" w:rsidR="0083202C" w:rsidRPr="005D3847" w:rsidRDefault="0083202C" w:rsidP="0083202C">
      <w:pPr>
        <w:pStyle w:val="rq"/>
        <w:spacing w:before="0" w:beforeAutospacing="0" w:after="0" w:afterAutospacing="0"/>
        <w:jc w:val="both"/>
        <w:rPr>
          <w:rFonts w:ascii="Arial" w:hAnsi="Arial" w:cs="Arial"/>
          <w:color w:val="16202C"/>
          <w:sz w:val="16"/>
          <w:szCs w:val="16"/>
        </w:rPr>
      </w:pPr>
      <w:r w:rsidRPr="005D3847">
        <w:rPr>
          <w:rStyle w:val="ph"/>
          <w:rFonts w:ascii="Arial" w:hAnsi="Arial" w:cs="Arial"/>
          <w:color w:val="262626"/>
          <w:sz w:val="16"/>
          <w:szCs w:val="16"/>
        </w:rPr>
        <w:t xml:space="preserve">These materials contain statements with respect to the financial condition, results of operations, business and future prospects of Housing 21 that are forward-looking statements. By their nature, forward-looking statements </w:t>
      </w:r>
      <w:r w:rsidRPr="005D3847">
        <w:rPr>
          <w:rStyle w:val="pg"/>
          <w:rFonts w:ascii="Arial" w:hAnsi="Arial" w:cs="Arial"/>
          <w:color w:val="000000"/>
          <w:sz w:val="16"/>
          <w:szCs w:val="16"/>
        </w:rPr>
        <w:t>involve risk and uncertainty because they relate to events and depend on circumstances that will occur in the future. There are a number of factors that could cause actual results and developments to differ materially from those expressed or implied by these forward-looking statements, including many factors outside Housing 21's control.</w:t>
      </w:r>
    </w:p>
    <w:p w14:paraId="54AE69B2" w14:textId="77777777" w:rsidR="0083202C" w:rsidRPr="00BC65B1" w:rsidRDefault="0083202C" w:rsidP="0083202C">
      <w:pPr>
        <w:rPr>
          <w:rFonts w:cs="Arial"/>
        </w:rPr>
      </w:pPr>
    </w:p>
    <w:p w14:paraId="4219A1B0" w14:textId="77777777" w:rsidR="0083202C" w:rsidRPr="00BC65B1" w:rsidRDefault="0083202C" w:rsidP="0083202C">
      <w:pPr>
        <w:rPr>
          <w:rFonts w:cs="Arial"/>
          <w:b/>
        </w:rPr>
      </w:pPr>
      <w:r w:rsidRPr="00BC65B1">
        <w:rPr>
          <w:rFonts w:cs="Arial"/>
          <w:b/>
        </w:rPr>
        <w:t>Operating review</w:t>
      </w:r>
    </w:p>
    <w:p w14:paraId="6C5CB679" w14:textId="77777777" w:rsidR="0083202C" w:rsidRPr="00BC65B1" w:rsidRDefault="0083202C" w:rsidP="0083202C">
      <w:pPr>
        <w:jc w:val="both"/>
        <w:rPr>
          <w:rFonts w:cs="Arial"/>
        </w:rPr>
      </w:pPr>
    </w:p>
    <w:p w14:paraId="3BD1427C" w14:textId="77777777" w:rsidR="0083202C" w:rsidRDefault="0083202C" w:rsidP="00CD6396">
      <w:pPr>
        <w:spacing w:after="120"/>
        <w:jc w:val="both"/>
        <w:rPr>
          <w:rStyle w:val="qw"/>
          <w:rFonts w:cs="Arial"/>
          <w:color w:val="16202C"/>
        </w:rPr>
      </w:pPr>
      <w:r>
        <w:rPr>
          <w:rFonts w:cs="Arial"/>
        </w:rPr>
        <w:t xml:space="preserve">The first half of 2021/22 </w:t>
      </w:r>
      <w:r w:rsidRPr="00B4584B">
        <w:rPr>
          <w:rFonts w:cs="Arial"/>
        </w:rPr>
        <w:t>has seen a return to more normal operating conditions</w:t>
      </w:r>
      <w:r>
        <w:rPr>
          <w:rFonts w:cs="Arial"/>
        </w:rPr>
        <w:t xml:space="preserve"> with performance in line with budgets and performance plans. Our care services have seen a gradual increase in activity to over </w:t>
      </w:r>
      <w:r>
        <w:rPr>
          <w:rStyle w:val="qw"/>
          <w:rFonts w:cs="Arial"/>
          <w:color w:val="16202C"/>
        </w:rPr>
        <w:t>38,000 hours of care per week delivered to our residents, which is still c 1,000 hours less per week at this time last year.</w:t>
      </w:r>
    </w:p>
    <w:p w14:paraId="4FA1C46B" w14:textId="77777777" w:rsidR="0083202C" w:rsidRDefault="0083202C" w:rsidP="00CD6396">
      <w:pPr>
        <w:spacing w:after="120"/>
        <w:jc w:val="both"/>
        <w:rPr>
          <w:rFonts w:cs="Arial"/>
        </w:rPr>
      </w:pPr>
      <w:r>
        <w:rPr>
          <w:rStyle w:val="qw"/>
          <w:rFonts w:cs="Arial"/>
          <w:color w:val="16202C"/>
        </w:rPr>
        <w:t>Void performance has improved since 31 March 2021 across both Retirement Living and Extra Care with 415 units void at period end (31 March 2021: 456 units) and we continue to expect total void levels to return to pre-Covid levels by March 2022. Total voids (re-let and major repairs) were 2.6% during the six months ended 30 September 2021.</w:t>
      </w:r>
    </w:p>
    <w:p w14:paraId="6CACE403" w14:textId="77777777" w:rsidR="0083202C" w:rsidRDefault="0083202C" w:rsidP="00CD6396">
      <w:pPr>
        <w:spacing w:after="120"/>
        <w:jc w:val="both"/>
        <w:rPr>
          <w:rFonts w:cs="Arial"/>
        </w:rPr>
      </w:pPr>
      <w:r>
        <w:rPr>
          <w:rStyle w:val="qw"/>
          <w:rFonts w:cs="Arial"/>
          <w:color w:val="16202C"/>
        </w:rPr>
        <w:t xml:space="preserve">Comparisons clearly show the impact of </w:t>
      </w:r>
      <w:r w:rsidRPr="0055096A">
        <w:rPr>
          <w:rFonts w:cs="Arial"/>
          <w:color w:val="16202C"/>
        </w:rPr>
        <w:t>the Covid-19 pandemic on performance in the prior year period</w:t>
      </w:r>
      <w:r>
        <w:rPr>
          <w:rFonts w:cs="Arial"/>
          <w:color w:val="16202C"/>
        </w:rPr>
        <w:t>, particularly on development completions and sales, maintenance activity and care services.</w:t>
      </w:r>
    </w:p>
    <w:p w14:paraId="010066EE" w14:textId="77777777" w:rsidR="0083202C" w:rsidRDefault="0083202C" w:rsidP="00CD6396">
      <w:pPr>
        <w:spacing w:after="120"/>
        <w:jc w:val="both"/>
        <w:rPr>
          <w:rFonts w:cs="Arial"/>
        </w:rPr>
      </w:pPr>
      <w:r w:rsidRPr="00194769">
        <w:rPr>
          <w:rFonts w:cs="Arial"/>
        </w:rPr>
        <w:t>We continue to be at the forefront of the housing sector f</w:t>
      </w:r>
      <w:r>
        <w:rPr>
          <w:rFonts w:cs="Arial"/>
        </w:rPr>
        <w:t>or</w:t>
      </w:r>
      <w:r w:rsidRPr="00194769">
        <w:rPr>
          <w:rFonts w:cs="Arial"/>
        </w:rPr>
        <w:t xml:space="preserve"> energy efficiency with 96% of our properties achieving at least EPC C as at 30 September 2021 (31 March 2021: 91%). We expect to reach 100% minimum EPC C performance by April 2022, significantly ahead of the government’s 2030 target. 25% of our properties are at EPC B level and </w:t>
      </w:r>
      <w:r>
        <w:rPr>
          <w:rFonts w:cs="Arial"/>
        </w:rPr>
        <w:t xml:space="preserve">all </w:t>
      </w:r>
      <w:r w:rsidRPr="00194769">
        <w:rPr>
          <w:rFonts w:cs="Arial"/>
        </w:rPr>
        <w:t xml:space="preserve">new developments </w:t>
      </w:r>
      <w:r>
        <w:rPr>
          <w:rFonts w:cs="Arial"/>
        </w:rPr>
        <w:t>from</w:t>
      </w:r>
      <w:r w:rsidRPr="00194769">
        <w:rPr>
          <w:rFonts w:cs="Arial"/>
        </w:rPr>
        <w:t xml:space="preserve"> 2020/21 </w:t>
      </w:r>
      <w:r>
        <w:rPr>
          <w:rFonts w:cs="Arial"/>
        </w:rPr>
        <w:t>onwards are expected to achieve</w:t>
      </w:r>
      <w:r w:rsidRPr="00194769">
        <w:rPr>
          <w:rFonts w:cs="Arial"/>
        </w:rPr>
        <w:t xml:space="preserve"> this </w:t>
      </w:r>
      <w:r>
        <w:rPr>
          <w:rFonts w:cs="Arial"/>
        </w:rPr>
        <w:t xml:space="preserve">higher </w:t>
      </w:r>
      <w:r w:rsidRPr="00194769">
        <w:rPr>
          <w:rFonts w:cs="Arial"/>
        </w:rPr>
        <w:t>standard.</w:t>
      </w:r>
    </w:p>
    <w:p w14:paraId="07796892" w14:textId="77777777" w:rsidR="0083202C" w:rsidRPr="00BC65B1" w:rsidRDefault="0083202C" w:rsidP="0083202C">
      <w:pPr>
        <w:jc w:val="both"/>
        <w:rPr>
          <w:rFonts w:cs="Arial"/>
        </w:rPr>
      </w:pPr>
    </w:p>
    <w:p w14:paraId="57AD4DAE" w14:textId="77777777" w:rsidR="0083202C" w:rsidRPr="00BC65B1" w:rsidRDefault="0083202C" w:rsidP="0083202C">
      <w:pPr>
        <w:jc w:val="both"/>
        <w:rPr>
          <w:rFonts w:cs="Arial"/>
          <w:b/>
        </w:rPr>
      </w:pPr>
      <w:r w:rsidRPr="00BC65B1">
        <w:rPr>
          <w:rFonts w:cs="Arial"/>
          <w:b/>
        </w:rPr>
        <w:t>Financial review</w:t>
      </w:r>
    </w:p>
    <w:p w14:paraId="2E89EABC" w14:textId="77777777" w:rsidR="0083202C" w:rsidRPr="00BC65B1" w:rsidRDefault="0083202C" w:rsidP="0083202C">
      <w:pPr>
        <w:pStyle w:val="rd"/>
        <w:spacing w:before="0" w:beforeAutospacing="0" w:after="0" w:afterAutospacing="0"/>
        <w:jc w:val="both"/>
        <w:rPr>
          <w:rFonts w:ascii="Arial" w:hAnsi="Arial" w:cs="Arial"/>
          <w:color w:val="16202C"/>
          <w:sz w:val="20"/>
          <w:szCs w:val="20"/>
        </w:rPr>
      </w:pPr>
    </w:p>
    <w:p w14:paraId="7BFEFA45" w14:textId="77777777" w:rsidR="0083202C" w:rsidRPr="00BC65B1" w:rsidRDefault="0083202C" w:rsidP="0083202C">
      <w:pPr>
        <w:pStyle w:val="rd"/>
        <w:spacing w:before="0" w:beforeAutospacing="0" w:after="0" w:afterAutospacing="0"/>
        <w:jc w:val="both"/>
        <w:rPr>
          <w:rFonts w:ascii="Arial" w:hAnsi="Arial" w:cs="Arial"/>
          <w:i/>
          <w:color w:val="16202C"/>
          <w:sz w:val="20"/>
          <w:szCs w:val="20"/>
        </w:rPr>
      </w:pPr>
      <w:r w:rsidRPr="00BC65B1">
        <w:rPr>
          <w:rFonts w:ascii="Arial" w:hAnsi="Arial" w:cs="Arial"/>
          <w:i/>
          <w:color w:val="16202C"/>
          <w:sz w:val="20"/>
          <w:szCs w:val="20"/>
        </w:rPr>
        <w:t>Turnover, costs and surpluses</w:t>
      </w:r>
    </w:p>
    <w:p w14:paraId="7FD4304F" w14:textId="77777777" w:rsidR="0083202C" w:rsidRPr="00BC65B1" w:rsidRDefault="0083202C" w:rsidP="0083202C">
      <w:pPr>
        <w:pStyle w:val="rd"/>
        <w:spacing w:before="0" w:beforeAutospacing="0" w:after="0" w:afterAutospacing="0"/>
        <w:jc w:val="both"/>
        <w:rPr>
          <w:rFonts w:ascii="Arial" w:hAnsi="Arial" w:cs="Arial"/>
          <w:color w:val="16202C"/>
          <w:sz w:val="20"/>
          <w:szCs w:val="20"/>
        </w:rPr>
      </w:pPr>
    </w:p>
    <w:p w14:paraId="0A4E41A9" w14:textId="77777777" w:rsidR="0083202C" w:rsidRPr="00BC65B1" w:rsidRDefault="0083202C" w:rsidP="0083202C">
      <w:pPr>
        <w:pStyle w:val="rd"/>
        <w:spacing w:before="0" w:beforeAutospacing="0" w:after="0" w:afterAutospacing="0"/>
        <w:jc w:val="both"/>
        <w:rPr>
          <w:rFonts w:ascii="Arial" w:hAnsi="Arial" w:cs="Arial"/>
          <w:color w:val="16202C"/>
          <w:sz w:val="20"/>
          <w:szCs w:val="20"/>
        </w:rPr>
      </w:pPr>
      <w:r w:rsidRPr="00BC65B1">
        <w:rPr>
          <w:rFonts w:ascii="Arial" w:hAnsi="Arial" w:cs="Arial"/>
          <w:color w:val="16202C"/>
          <w:sz w:val="20"/>
          <w:szCs w:val="20"/>
        </w:rPr>
        <w:t xml:space="preserve">A summary of financial performance </w:t>
      </w:r>
      <w:r>
        <w:rPr>
          <w:rFonts w:ascii="Arial" w:hAnsi="Arial" w:cs="Arial"/>
          <w:color w:val="16202C"/>
          <w:sz w:val="20"/>
          <w:szCs w:val="20"/>
        </w:rPr>
        <w:t xml:space="preserve">for the six months ended 30 September 2021 compared to the same period in the prior financial year </w:t>
      </w:r>
      <w:r w:rsidRPr="00BC65B1">
        <w:rPr>
          <w:rFonts w:ascii="Arial" w:hAnsi="Arial" w:cs="Arial"/>
          <w:color w:val="16202C"/>
          <w:sz w:val="20"/>
          <w:szCs w:val="20"/>
        </w:rPr>
        <w:t>is set out below.</w:t>
      </w:r>
    </w:p>
    <w:p w14:paraId="7739A6B7" w14:textId="77777777" w:rsidR="0083202C" w:rsidRDefault="0083202C" w:rsidP="0083202C">
      <w:pPr>
        <w:pStyle w:val="rd"/>
        <w:spacing w:before="0" w:beforeAutospacing="0" w:after="0" w:afterAutospacing="0"/>
        <w:jc w:val="both"/>
        <w:rPr>
          <w:rFonts w:ascii="Arial" w:hAnsi="Arial" w:cs="Arial"/>
          <w:color w:val="16202C"/>
          <w:sz w:val="20"/>
          <w:szCs w:val="20"/>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701"/>
        <w:gridCol w:w="1701"/>
        <w:gridCol w:w="1701"/>
      </w:tblGrid>
      <w:tr w:rsidR="0083202C" w:rsidRPr="000A3EE9" w14:paraId="4019A6A9" w14:textId="77777777" w:rsidTr="005F0C6E">
        <w:tc>
          <w:tcPr>
            <w:tcW w:w="4535" w:type="dxa"/>
          </w:tcPr>
          <w:p w14:paraId="79BDAEC4" w14:textId="77777777" w:rsidR="0083202C" w:rsidRPr="002D71B4" w:rsidRDefault="0083202C" w:rsidP="005F0C6E">
            <w:pPr>
              <w:pStyle w:val="rd"/>
              <w:spacing w:before="0" w:beforeAutospacing="0" w:after="0" w:afterAutospacing="0"/>
              <w:jc w:val="both"/>
              <w:rPr>
                <w:rFonts w:ascii="Arial" w:hAnsi="Arial" w:cs="Arial"/>
                <w:b/>
                <w:color w:val="16202C"/>
                <w:sz w:val="20"/>
                <w:szCs w:val="20"/>
              </w:rPr>
            </w:pPr>
            <w:r w:rsidRPr="002D71B4">
              <w:rPr>
                <w:rFonts w:ascii="Arial" w:hAnsi="Arial" w:cs="Arial"/>
                <w:b/>
                <w:color w:val="16202C"/>
                <w:sz w:val="20"/>
                <w:szCs w:val="20"/>
              </w:rPr>
              <w:t>6 months ended 30 September</w:t>
            </w:r>
          </w:p>
        </w:tc>
        <w:tc>
          <w:tcPr>
            <w:tcW w:w="1701" w:type="dxa"/>
          </w:tcPr>
          <w:p w14:paraId="7CE691CE"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r w:rsidRPr="002D71B4">
              <w:rPr>
                <w:rFonts w:ascii="Arial" w:hAnsi="Arial" w:cs="Arial"/>
                <w:b/>
                <w:color w:val="16202C"/>
                <w:sz w:val="20"/>
                <w:szCs w:val="20"/>
              </w:rPr>
              <w:t>2020</w:t>
            </w:r>
          </w:p>
        </w:tc>
        <w:tc>
          <w:tcPr>
            <w:tcW w:w="1701" w:type="dxa"/>
          </w:tcPr>
          <w:p w14:paraId="34748EBD"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r w:rsidRPr="002D71B4">
              <w:rPr>
                <w:rFonts w:ascii="Arial" w:hAnsi="Arial" w:cs="Arial"/>
                <w:b/>
                <w:color w:val="16202C"/>
                <w:sz w:val="20"/>
                <w:szCs w:val="20"/>
              </w:rPr>
              <w:t>2021</w:t>
            </w:r>
          </w:p>
        </w:tc>
        <w:tc>
          <w:tcPr>
            <w:tcW w:w="1701" w:type="dxa"/>
          </w:tcPr>
          <w:p w14:paraId="7694A8B9"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r w:rsidRPr="002D71B4">
              <w:rPr>
                <w:rFonts w:ascii="Arial" w:hAnsi="Arial" w:cs="Arial"/>
                <w:b/>
                <w:color w:val="16202C"/>
                <w:sz w:val="20"/>
                <w:szCs w:val="20"/>
              </w:rPr>
              <w:t>Change</w:t>
            </w:r>
          </w:p>
        </w:tc>
      </w:tr>
      <w:tr w:rsidR="0083202C" w:rsidRPr="000A3EE9" w14:paraId="54418059" w14:textId="77777777" w:rsidTr="005F0C6E">
        <w:tc>
          <w:tcPr>
            <w:tcW w:w="4535" w:type="dxa"/>
            <w:tcBorders>
              <w:bottom w:val="single" w:sz="4" w:space="0" w:color="auto"/>
            </w:tcBorders>
          </w:tcPr>
          <w:p w14:paraId="331B7923" w14:textId="77777777" w:rsidR="0083202C" w:rsidRPr="002D71B4" w:rsidRDefault="0083202C" w:rsidP="005F0C6E">
            <w:pPr>
              <w:pStyle w:val="rd"/>
              <w:spacing w:before="0" w:beforeAutospacing="0" w:after="0" w:afterAutospacing="0"/>
              <w:jc w:val="both"/>
              <w:rPr>
                <w:rFonts w:ascii="Arial" w:hAnsi="Arial" w:cs="Arial"/>
                <w:b/>
                <w:color w:val="16202C"/>
                <w:sz w:val="20"/>
                <w:szCs w:val="20"/>
              </w:rPr>
            </w:pPr>
          </w:p>
        </w:tc>
        <w:tc>
          <w:tcPr>
            <w:tcW w:w="1701" w:type="dxa"/>
            <w:tcBorders>
              <w:bottom w:val="single" w:sz="4" w:space="0" w:color="auto"/>
            </w:tcBorders>
          </w:tcPr>
          <w:p w14:paraId="40030217"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r w:rsidRPr="002D71B4">
              <w:rPr>
                <w:rFonts w:ascii="Arial" w:hAnsi="Arial" w:cs="Arial"/>
                <w:b/>
                <w:color w:val="16202C"/>
                <w:sz w:val="20"/>
                <w:szCs w:val="20"/>
              </w:rPr>
              <w:t>£m</w:t>
            </w:r>
          </w:p>
        </w:tc>
        <w:tc>
          <w:tcPr>
            <w:tcW w:w="1701" w:type="dxa"/>
            <w:tcBorders>
              <w:bottom w:val="single" w:sz="4" w:space="0" w:color="auto"/>
            </w:tcBorders>
          </w:tcPr>
          <w:p w14:paraId="4E74060B"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r w:rsidRPr="002D71B4">
              <w:rPr>
                <w:rFonts w:ascii="Arial" w:hAnsi="Arial" w:cs="Arial"/>
                <w:b/>
                <w:color w:val="16202C"/>
                <w:sz w:val="20"/>
                <w:szCs w:val="20"/>
              </w:rPr>
              <w:t>£m</w:t>
            </w:r>
          </w:p>
        </w:tc>
        <w:tc>
          <w:tcPr>
            <w:tcW w:w="1701" w:type="dxa"/>
            <w:tcBorders>
              <w:bottom w:val="single" w:sz="4" w:space="0" w:color="auto"/>
            </w:tcBorders>
          </w:tcPr>
          <w:p w14:paraId="5418BE18" w14:textId="77777777" w:rsidR="0083202C" w:rsidRPr="002D71B4" w:rsidRDefault="0083202C" w:rsidP="005F0C6E">
            <w:pPr>
              <w:pStyle w:val="rd"/>
              <w:spacing w:before="0" w:beforeAutospacing="0" w:after="0" w:afterAutospacing="0"/>
              <w:jc w:val="center"/>
              <w:rPr>
                <w:rFonts w:ascii="Arial" w:hAnsi="Arial" w:cs="Arial"/>
                <w:b/>
                <w:color w:val="16202C"/>
                <w:sz w:val="20"/>
                <w:szCs w:val="20"/>
              </w:rPr>
            </w:pPr>
          </w:p>
        </w:tc>
      </w:tr>
      <w:tr w:rsidR="0083202C" w14:paraId="0A852D8E" w14:textId="77777777" w:rsidTr="005F0C6E">
        <w:tc>
          <w:tcPr>
            <w:tcW w:w="4535" w:type="dxa"/>
            <w:tcBorders>
              <w:top w:val="single" w:sz="4" w:space="0" w:color="auto"/>
            </w:tcBorders>
          </w:tcPr>
          <w:p w14:paraId="6FE5CA2B" w14:textId="77777777" w:rsidR="0083202C" w:rsidRDefault="0083202C" w:rsidP="005F0C6E">
            <w:pPr>
              <w:pStyle w:val="rd"/>
              <w:spacing w:before="0" w:beforeAutospacing="0" w:after="0" w:afterAutospacing="0"/>
              <w:jc w:val="both"/>
              <w:rPr>
                <w:rFonts w:ascii="Arial" w:hAnsi="Arial" w:cs="Arial"/>
                <w:color w:val="16202C"/>
                <w:sz w:val="20"/>
                <w:szCs w:val="20"/>
              </w:rPr>
            </w:pPr>
          </w:p>
        </w:tc>
        <w:tc>
          <w:tcPr>
            <w:tcW w:w="1701" w:type="dxa"/>
            <w:tcBorders>
              <w:top w:val="single" w:sz="4" w:space="0" w:color="auto"/>
            </w:tcBorders>
          </w:tcPr>
          <w:p w14:paraId="5D89CCC7"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Borders>
              <w:top w:val="single" w:sz="4" w:space="0" w:color="auto"/>
            </w:tcBorders>
          </w:tcPr>
          <w:p w14:paraId="0A81E38F"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Borders>
              <w:top w:val="single" w:sz="4" w:space="0" w:color="auto"/>
            </w:tcBorders>
          </w:tcPr>
          <w:p w14:paraId="3403A2B1" w14:textId="77777777" w:rsidR="0083202C" w:rsidRDefault="0083202C" w:rsidP="005F0C6E">
            <w:pPr>
              <w:pStyle w:val="rd"/>
              <w:spacing w:before="0" w:beforeAutospacing="0" w:after="0" w:afterAutospacing="0"/>
              <w:jc w:val="center"/>
              <w:rPr>
                <w:rFonts w:ascii="Arial" w:hAnsi="Arial" w:cs="Arial"/>
                <w:color w:val="16202C"/>
                <w:sz w:val="20"/>
                <w:szCs w:val="20"/>
              </w:rPr>
            </w:pPr>
          </w:p>
        </w:tc>
      </w:tr>
      <w:tr w:rsidR="0083202C" w:rsidRPr="006C5A7E" w14:paraId="16C1500E" w14:textId="77777777" w:rsidTr="005F0C6E">
        <w:tc>
          <w:tcPr>
            <w:tcW w:w="4535" w:type="dxa"/>
          </w:tcPr>
          <w:p w14:paraId="32315E7A" w14:textId="77777777" w:rsidR="0083202C" w:rsidRPr="006C5A7E" w:rsidRDefault="0083202C" w:rsidP="005F0C6E">
            <w:pPr>
              <w:pStyle w:val="rd"/>
              <w:spacing w:before="0" w:beforeAutospacing="0" w:after="0" w:afterAutospacing="0"/>
              <w:jc w:val="both"/>
              <w:rPr>
                <w:rFonts w:ascii="Arial" w:hAnsi="Arial" w:cs="Arial"/>
                <w:b/>
                <w:color w:val="16202C"/>
                <w:sz w:val="20"/>
                <w:szCs w:val="20"/>
              </w:rPr>
            </w:pPr>
            <w:r w:rsidRPr="006C5A7E">
              <w:rPr>
                <w:rFonts w:ascii="Arial" w:hAnsi="Arial" w:cs="Arial"/>
                <w:b/>
                <w:color w:val="16202C"/>
                <w:sz w:val="20"/>
                <w:szCs w:val="20"/>
              </w:rPr>
              <w:t>Turnover</w:t>
            </w:r>
          </w:p>
        </w:tc>
        <w:tc>
          <w:tcPr>
            <w:tcW w:w="1701" w:type="dxa"/>
          </w:tcPr>
          <w:p w14:paraId="2B024982" w14:textId="77777777" w:rsidR="0083202C" w:rsidRPr="006C5A7E"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98.0</w:t>
            </w:r>
          </w:p>
        </w:tc>
        <w:tc>
          <w:tcPr>
            <w:tcW w:w="1701" w:type="dxa"/>
          </w:tcPr>
          <w:p w14:paraId="11CADC3E" w14:textId="77777777" w:rsidR="0083202C" w:rsidRPr="006C5A7E"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109.3</w:t>
            </w:r>
          </w:p>
        </w:tc>
        <w:tc>
          <w:tcPr>
            <w:tcW w:w="1701" w:type="dxa"/>
          </w:tcPr>
          <w:p w14:paraId="2E6FEC19" w14:textId="77777777" w:rsidR="0083202C" w:rsidRPr="006C5A7E" w:rsidRDefault="0083202C" w:rsidP="005F0C6E">
            <w:pPr>
              <w:pStyle w:val="rd"/>
              <w:spacing w:before="0" w:beforeAutospacing="0" w:after="0" w:afterAutospacing="0"/>
              <w:jc w:val="center"/>
              <w:rPr>
                <w:rFonts w:ascii="Arial" w:hAnsi="Arial" w:cs="Arial"/>
                <w:b/>
                <w:color w:val="16202C"/>
                <w:sz w:val="20"/>
                <w:szCs w:val="20"/>
              </w:rPr>
            </w:pPr>
            <w:r w:rsidRPr="006C5A7E">
              <w:rPr>
                <w:rFonts w:ascii="Arial" w:hAnsi="Arial" w:cs="Arial"/>
                <w:b/>
                <w:color w:val="16202C"/>
                <w:sz w:val="20"/>
                <w:szCs w:val="20"/>
              </w:rPr>
              <w:t>11.</w:t>
            </w:r>
            <w:r>
              <w:rPr>
                <w:rFonts w:ascii="Arial" w:hAnsi="Arial" w:cs="Arial"/>
                <w:b/>
                <w:color w:val="16202C"/>
                <w:sz w:val="20"/>
                <w:szCs w:val="20"/>
              </w:rPr>
              <w:t>5</w:t>
            </w:r>
            <w:r w:rsidRPr="006C5A7E">
              <w:rPr>
                <w:rFonts w:ascii="Arial" w:hAnsi="Arial" w:cs="Arial"/>
                <w:b/>
                <w:color w:val="16202C"/>
                <w:sz w:val="20"/>
                <w:szCs w:val="20"/>
              </w:rPr>
              <w:t>%</w:t>
            </w:r>
          </w:p>
        </w:tc>
      </w:tr>
      <w:tr w:rsidR="0083202C" w14:paraId="2B25E692" w14:textId="77777777" w:rsidTr="005F0C6E">
        <w:tc>
          <w:tcPr>
            <w:tcW w:w="4535" w:type="dxa"/>
          </w:tcPr>
          <w:p w14:paraId="1128DBD1" w14:textId="77777777" w:rsidR="0083202C" w:rsidRDefault="0083202C" w:rsidP="005F0C6E">
            <w:pPr>
              <w:pStyle w:val="rd"/>
              <w:spacing w:before="0" w:beforeAutospacing="0" w:after="0" w:afterAutospacing="0"/>
              <w:ind w:left="142"/>
              <w:jc w:val="both"/>
              <w:rPr>
                <w:rFonts w:ascii="Arial" w:hAnsi="Arial" w:cs="Arial"/>
                <w:color w:val="16202C"/>
                <w:sz w:val="20"/>
                <w:szCs w:val="20"/>
              </w:rPr>
            </w:pPr>
            <w:r>
              <w:rPr>
                <w:rFonts w:ascii="Arial" w:hAnsi="Arial" w:cs="Arial"/>
                <w:color w:val="16202C"/>
                <w:sz w:val="20"/>
                <w:szCs w:val="20"/>
              </w:rPr>
              <w:t>Social housing lettings</w:t>
            </w:r>
          </w:p>
        </w:tc>
        <w:tc>
          <w:tcPr>
            <w:tcW w:w="1701" w:type="dxa"/>
          </w:tcPr>
          <w:p w14:paraId="67859347"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72.1</w:t>
            </w:r>
          </w:p>
        </w:tc>
        <w:tc>
          <w:tcPr>
            <w:tcW w:w="1701" w:type="dxa"/>
          </w:tcPr>
          <w:p w14:paraId="0A6FE709"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74.0</w:t>
            </w:r>
          </w:p>
        </w:tc>
        <w:tc>
          <w:tcPr>
            <w:tcW w:w="1701" w:type="dxa"/>
          </w:tcPr>
          <w:p w14:paraId="01FEE864" w14:textId="77777777" w:rsidR="0083202C" w:rsidRPr="00281460" w:rsidRDefault="0083202C" w:rsidP="005F0C6E">
            <w:pPr>
              <w:pStyle w:val="rd"/>
              <w:spacing w:before="0" w:beforeAutospacing="0" w:after="0" w:afterAutospacing="0"/>
              <w:jc w:val="center"/>
              <w:rPr>
                <w:rFonts w:ascii="Arial" w:hAnsi="Arial" w:cs="Arial"/>
                <w:sz w:val="20"/>
                <w:szCs w:val="20"/>
              </w:rPr>
            </w:pPr>
            <w:r>
              <w:rPr>
                <w:rFonts w:ascii="Arial" w:hAnsi="Arial" w:cs="Arial"/>
                <w:sz w:val="20"/>
                <w:szCs w:val="20"/>
              </w:rPr>
              <w:t>2.6%</w:t>
            </w:r>
          </w:p>
        </w:tc>
      </w:tr>
      <w:tr w:rsidR="0083202C" w14:paraId="5625B87C" w14:textId="77777777" w:rsidTr="005F0C6E">
        <w:tc>
          <w:tcPr>
            <w:tcW w:w="4535" w:type="dxa"/>
          </w:tcPr>
          <w:p w14:paraId="680B4941" w14:textId="77777777" w:rsidR="0083202C" w:rsidRDefault="0083202C" w:rsidP="005F0C6E">
            <w:pPr>
              <w:pStyle w:val="rd"/>
              <w:spacing w:before="0" w:beforeAutospacing="0" w:after="0" w:afterAutospacing="0"/>
              <w:ind w:left="142"/>
              <w:jc w:val="both"/>
              <w:rPr>
                <w:rFonts w:ascii="Arial" w:hAnsi="Arial" w:cs="Arial"/>
                <w:color w:val="16202C"/>
                <w:sz w:val="20"/>
                <w:szCs w:val="20"/>
              </w:rPr>
            </w:pPr>
            <w:r>
              <w:rPr>
                <w:rFonts w:ascii="Arial" w:hAnsi="Arial" w:cs="Arial"/>
                <w:color w:val="16202C"/>
                <w:sz w:val="20"/>
                <w:szCs w:val="20"/>
              </w:rPr>
              <w:t>Shared ownership first tranche sales</w:t>
            </w:r>
          </w:p>
        </w:tc>
        <w:tc>
          <w:tcPr>
            <w:tcW w:w="1701" w:type="dxa"/>
          </w:tcPr>
          <w:p w14:paraId="140627C5"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3.3</w:t>
            </w:r>
          </w:p>
        </w:tc>
        <w:tc>
          <w:tcPr>
            <w:tcW w:w="1701" w:type="dxa"/>
          </w:tcPr>
          <w:p w14:paraId="4B306C49"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10.6</w:t>
            </w:r>
          </w:p>
        </w:tc>
        <w:tc>
          <w:tcPr>
            <w:tcW w:w="1701" w:type="dxa"/>
          </w:tcPr>
          <w:p w14:paraId="1BB6FD72" w14:textId="77777777" w:rsidR="0083202C" w:rsidRPr="00281460" w:rsidRDefault="0083202C" w:rsidP="005F0C6E">
            <w:pPr>
              <w:pStyle w:val="rd"/>
              <w:spacing w:before="0" w:beforeAutospacing="0" w:after="0" w:afterAutospacing="0"/>
              <w:jc w:val="center"/>
              <w:rPr>
                <w:rFonts w:ascii="Arial" w:hAnsi="Arial" w:cs="Arial"/>
                <w:sz w:val="20"/>
                <w:szCs w:val="20"/>
              </w:rPr>
            </w:pPr>
            <w:r>
              <w:rPr>
                <w:rFonts w:ascii="Arial" w:hAnsi="Arial" w:cs="Arial"/>
                <w:sz w:val="20"/>
                <w:szCs w:val="20"/>
              </w:rPr>
              <w:t>221.2%</w:t>
            </w:r>
          </w:p>
        </w:tc>
      </w:tr>
      <w:tr w:rsidR="0083202C" w14:paraId="7F2BFC04" w14:textId="77777777" w:rsidTr="005F0C6E">
        <w:tc>
          <w:tcPr>
            <w:tcW w:w="4535" w:type="dxa"/>
          </w:tcPr>
          <w:p w14:paraId="00233E20" w14:textId="77777777" w:rsidR="0083202C" w:rsidRDefault="0083202C" w:rsidP="005F0C6E">
            <w:pPr>
              <w:pStyle w:val="rd"/>
              <w:tabs>
                <w:tab w:val="left" w:pos="1170"/>
              </w:tabs>
              <w:spacing w:before="0" w:beforeAutospacing="0" w:after="0" w:afterAutospacing="0"/>
              <w:ind w:left="142"/>
              <w:jc w:val="both"/>
              <w:rPr>
                <w:rFonts w:ascii="Arial" w:hAnsi="Arial" w:cs="Arial"/>
                <w:color w:val="16202C"/>
                <w:sz w:val="20"/>
                <w:szCs w:val="20"/>
              </w:rPr>
            </w:pPr>
            <w:r>
              <w:rPr>
                <w:rFonts w:ascii="Arial" w:hAnsi="Arial" w:cs="Arial"/>
                <w:color w:val="16202C"/>
                <w:sz w:val="20"/>
                <w:szCs w:val="20"/>
              </w:rPr>
              <w:t>Other social housing activities</w:t>
            </w:r>
          </w:p>
        </w:tc>
        <w:tc>
          <w:tcPr>
            <w:tcW w:w="1701" w:type="dxa"/>
          </w:tcPr>
          <w:p w14:paraId="6312F344"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3.0</w:t>
            </w:r>
          </w:p>
        </w:tc>
        <w:tc>
          <w:tcPr>
            <w:tcW w:w="1701" w:type="dxa"/>
          </w:tcPr>
          <w:p w14:paraId="690B66E5"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3.7</w:t>
            </w:r>
          </w:p>
        </w:tc>
        <w:tc>
          <w:tcPr>
            <w:tcW w:w="1701" w:type="dxa"/>
          </w:tcPr>
          <w:p w14:paraId="75775CB1" w14:textId="77777777" w:rsidR="0083202C" w:rsidRPr="00281460" w:rsidRDefault="0083202C" w:rsidP="005F0C6E">
            <w:pPr>
              <w:pStyle w:val="rd"/>
              <w:spacing w:before="0" w:beforeAutospacing="0" w:after="0" w:afterAutospacing="0"/>
              <w:jc w:val="center"/>
              <w:rPr>
                <w:rFonts w:ascii="Arial" w:hAnsi="Arial" w:cs="Arial"/>
                <w:sz w:val="20"/>
                <w:szCs w:val="20"/>
              </w:rPr>
            </w:pPr>
            <w:r>
              <w:rPr>
                <w:rFonts w:ascii="Arial" w:hAnsi="Arial" w:cs="Arial"/>
                <w:sz w:val="20"/>
                <w:szCs w:val="20"/>
              </w:rPr>
              <w:t>23.3%</w:t>
            </w:r>
          </w:p>
        </w:tc>
      </w:tr>
      <w:tr w:rsidR="0083202C" w14:paraId="6F19627D" w14:textId="77777777" w:rsidTr="005F0C6E">
        <w:tc>
          <w:tcPr>
            <w:tcW w:w="4535" w:type="dxa"/>
          </w:tcPr>
          <w:p w14:paraId="55702042" w14:textId="77777777" w:rsidR="0083202C" w:rsidRDefault="0083202C" w:rsidP="005F0C6E">
            <w:pPr>
              <w:pStyle w:val="rd"/>
              <w:tabs>
                <w:tab w:val="left" w:pos="1170"/>
              </w:tabs>
              <w:spacing w:before="0" w:beforeAutospacing="0" w:after="0" w:afterAutospacing="0"/>
              <w:ind w:left="142"/>
              <w:jc w:val="both"/>
              <w:rPr>
                <w:rFonts w:ascii="Arial" w:hAnsi="Arial" w:cs="Arial"/>
                <w:color w:val="16202C"/>
                <w:sz w:val="20"/>
                <w:szCs w:val="20"/>
              </w:rPr>
            </w:pPr>
            <w:r>
              <w:rPr>
                <w:rFonts w:ascii="Arial" w:hAnsi="Arial" w:cs="Arial"/>
                <w:color w:val="16202C"/>
                <w:sz w:val="20"/>
                <w:szCs w:val="20"/>
              </w:rPr>
              <w:t>Care services</w:t>
            </w:r>
          </w:p>
        </w:tc>
        <w:tc>
          <w:tcPr>
            <w:tcW w:w="1701" w:type="dxa"/>
          </w:tcPr>
          <w:p w14:paraId="49927917"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17.6</w:t>
            </w:r>
          </w:p>
        </w:tc>
        <w:tc>
          <w:tcPr>
            <w:tcW w:w="1701" w:type="dxa"/>
          </w:tcPr>
          <w:p w14:paraId="133C3D87"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19.2</w:t>
            </w:r>
          </w:p>
        </w:tc>
        <w:tc>
          <w:tcPr>
            <w:tcW w:w="1701" w:type="dxa"/>
          </w:tcPr>
          <w:p w14:paraId="0911132D" w14:textId="77777777" w:rsidR="0083202C" w:rsidRDefault="0083202C" w:rsidP="005F0C6E">
            <w:pPr>
              <w:pStyle w:val="rd"/>
              <w:spacing w:before="0" w:beforeAutospacing="0" w:after="0" w:afterAutospacing="0"/>
              <w:jc w:val="center"/>
              <w:rPr>
                <w:rFonts w:ascii="Arial" w:hAnsi="Arial" w:cs="Arial"/>
                <w:sz w:val="20"/>
                <w:szCs w:val="20"/>
              </w:rPr>
            </w:pPr>
            <w:r>
              <w:rPr>
                <w:rFonts w:ascii="Arial" w:hAnsi="Arial" w:cs="Arial"/>
                <w:sz w:val="20"/>
                <w:szCs w:val="20"/>
              </w:rPr>
              <w:t>9.1%</w:t>
            </w:r>
          </w:p>
        </w:tc>
      </w:tr>
      <w:tr w:rsidR="0083202C" w14:paraId="464C2B7A" w14:textId="77777777" w:rsidTr="005F0C6E">
        <w:tc>
          <w:tcPr>
            <w:tcW w:w="4535" w:type="dxa"/>
          </w:tcPr>
          <w:p w14:paraId="3BE437A4" w14:textId="77777777" w:rsidR="0083202C" w:rsidDel="00EF0C79" w:rsidRDefault="0083202C" w:rsidP="005F0C6E">
            <w:pPr>
              <w:pStyle w:val="rd"/>
              <w:tabs>
                <w:tab w:val="left" w:pos="1170"/>
              </w:tabs>
              <w:spacing w:before="0" w:beforeAutospacing="0" w:after="0" w:afterAutospacing="0"/>
              <w:ind w:left="142"/>
              <w:jc w:val="both"/>
              <w:rPr>
                <w:rFonts w:ascii="Arial" w:hAnsi="Arial" w:cs="Arial"/>
                <w:color w:val="16202C"/>
                <w:sz w:val="20"/>
                <w:szCs w:val="20"/>
              </w:rPr>
            </w:pPr>
            <w:r>
              <w:rPr>
                <w:rFonts w:ascii="Arial" w:hAnsi="Arial" w:cs="Arial"/>
                <w:color w:val="16202C"/>
                <w:sz w:val="20"/>
                <w:szCs w:val="20"/>
              </w:rPr>
              <w:t>Other non-social housing activities</w:t>
            </w:r>
          </w:p>
        </w:tc>
        <w:tc>
          <w:tcPr>
            <w:tcW w:w="1701" w:type="dxa"/>
          </w:tcPr>
          <w:p w14:paraId="3D376D83" w14:textId="77777777" w:rsidR="0083202C" w:rsidDel="00EF0C79"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2.0</w:t>
            </w:r>
          </w:p>
        </w:tc>
        <w:tc>
          <w:tcPr>
            <w:tcW w:w="1701" w:type="dxa"/>
          </w:tcPr>
          <w:p w14:paraId="127119C0" w14:textId="77777777" w:rsidR="0083202C" w:rsidDel="00EF0C79"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1.8</w:t>
            </w:r>
          </w:p>
        </w:tc>
        <w:tc>
          <w:tcPr>
            <w:tcW w:w="1701" w:type="dxa"/>
          </w:tcPr>
          <w:p w14:paraId="17F5A874" w14:textId="77777777" w:rsidR="0083202C" w:rsidDel="00EF0C79" w:rsidRDefault="0083202C" w:rsidP="005F0C6E">
            <w:pPr>
              <w:pStyle w:val="rd"/>
              <w:spacing w:before="0" w:beforeAutospacing="0" w:after="0" w:afterAutospacing="0"/>
              <w:jc w:val="center"/>
              <w:rPr>
                <w:rFonts w:ascii="Arial" w:hAnsi="Arial" w:cs="Arial"/>
                <w:sz w:val="20"/>
                <w:szCs w:val="20"/>
              </w:rPr>
            </w:pPr>
            <w:r>
              <w:rPr>
                <w:rFonts w:ascii="Arial" w:hAnsi="Arial" w:cs="Arial"/>
                <w:sz w:val="20"/>
                <w:szCs w:val="20"/>
              </w:rPr>
              <w:t>(10.0)%</w:t>
            </w:r>
          </w:p>
        </w:tc>
      </w:tr>
      <w:tr w:rsidR="0083202C" w14:paraId="456A95C0" w14:textId="77777777" w:rsidTr="005F0C6E">
        <w:tc>
          <w:tcPr>
            <w:tcW w:w="4535" w:type="dxa"/>
          </w:tcPr>
          <w:p w14:paraId="732CD024" w14:textId="77777777" w:rsidR="0083202C" w:rsidRDefault="0083202C" w:rsidP="005F0C6E">
            <w:pPr>
              <w:pStyle w:val="rd"/>
              <w:spacing w:before="0" w:beforeAutospacing="0" w:after="0" w:afterAutospacing="0"/>
              <w:jc w:val="both"/>
              <w:rPr>
                <w:rFonts w:ascii="Arial" w:hAnsi="Arial" w:cs="Arial"/>
                <w:color w:val="16202C"/>
                <w:sz w:val="20"/>
                <w:szCs w:val="20"/>
              </w:rPr>
            </w:pPr>
          </w:p>
        </w:tc>
        <w:tc>
          <w:tcPr>
            <w:tcW w:w="1701" w:type="dxa"/>
          </w:tcPr>
          <w:p w14:paraId="1939F9B4"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Pr>
          <w:p w14:paraId="602D3559"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Pr>
          <w:p w14:paraId="416471B2" w14:textId="77777777" w:rsidR="0083202C" w:rsidRPr="00281460" w:rsidRDefault="0083202C" w:rsidP="005F0C6E">
            <w:pPr>
              <w:pStyle w:val="rd"/>
              <w:spacing w:before="0" w:beforeAutospacing="0" w:after="0" w:afterAutospacing="0"/>
              <w:jc w:val="center"/>
              <w:rPr>
                <w:rFonts w:ascii="Arial" w:hAnsi="Arial" w:cs="Arial"/>
                <w:sz w:val="20"/>
                <w:szCs w:val="20"/>
              </w:rPr>
            </w:pPr>
          </w:p>
        </w:tc>
      </w:tr>
      <w:tr w:rsidR="0083202C" w:rsidRPr="006C5A7E" w14:paraId="640316B2" w14:textId="77777777" w:rsidTr="005F0C6E">
        <w:tc>
          <w:tcPr>
            <w:tcW w:w="4535" w:type="dxa"/>
          </w:tcPr>
          <w:p w14:paraId="24FFC9A8" w14:textId="77777777" w:rsidR="0083202C" w:rsidRPr="006C5A7E" w:rsidRDefault="0083202C" w:rsidP="005F0C6E">
            <w:pPr>
              <w:pStyle w:val="rd"/>
              <w:spacing w:before="0" w:beforeAutospacing="0" w:after="0" w:afterAutospacing="0"/>
              <w:jc w:val="both"/>
              <w:rPr>
                <w:rFonts w:ascii="Arial" w:hAnsi="Arial" w:cs="Arial"/>
                <w:b/>
                <w:color w:val="16202C"/>
                <w:sz w:val="20"/>
                <w:szCs w:val="20"/>
              </w:rPr>
            </w:pPr>
            <w:r w:rsidRPr="006C5A7E">
              <w:rPr>
                <w:rFonts w:ascii="Arial" w:hAnsi="Arial" w:cs="Arial"/>
                <w:b/>
                <w:color w:val="16202C"/>
                <w:sz w:val="20"/>
                <w:szCs w:val="20"/>
              </w:rPr>
              <w:t>Operating costs and costs of sale</w:t>
            </w:r>
          </w:p>
        </w:tc>
        <w:tc>
          <w:tcPr>
            <w:tcW w:w="1701" w:type="dxa"/>
          </w:tcPr>
          <w:p w14:paraId="03E802E2" w14:textId="77777777" w:rsidR="0083202C" w:rsidRPr="006C5A7E"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(78.3)</w:t>
            </w:r>
          </w:p>
        </w:tc>
        <w:tc>
          <w:tcPr>
            <w:tcW w:w="1701" w:type="dxa"/>
          </w:tcPr>
          <w:p w14:paraId="76C34B33" w14:textId="77777777" w:rsidR="0083202C" w:rsidRPr="006C5A7E"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(92.7)</w:t>
            </w:r>
          </w:p>
        </w:tc>
        <w:tc>
          <w:tcPr>
            <w:tcW w:w="1701" w:type="dxa"/>
          </w:tcPr>
          <w:p w14:paraId="3D28DF16" w14:textId="77777777" w:rsidR="0083202C" w:rsidRPr="006C5A7E" w:rsidRDefault="0083202C" w:rsidP="005F0C6E">
            <w:pPr>
              <w:pStyle w:val="rd"/>
              <w:spacing w:before="0" w:beforeAutospacing="0" w:after="0" w:afterAutospacing="0"/>
              <w:jc w:val="center"/>
              <w:rPr>
                <w:rFonts w:ascii="Arial" w:hAnsi="Arial" w:cs="Arial"/>
                <w:b/>
                <w:sz w:val="20"/>
                <w:szCs w:val="20"/>
              </w:rPr>
            </w:pPr>
            <w:r>
              <w:rPr>
                <w:rFonts w:ascii="Arial" w:hAnsi="Arial" w:cs="Arial"/>
                <w:b/>
                <w:sz w:val="20"/>
                <w:szCs w:val="20"/>
              </w:rPr>
              <w:t>18.4</w:t>
            </w:r>
            <w:r w:rsidRPr="006C5A7E">
              <w:rPr>
                <w:rFonts w:ascii="Arial" w:hAnsi="Arial" w:cs="Arial"/>
                <w:b/>
                <w:sz w:val="20"/>
                <w:szCs w:val="20"/>
              </w:rPr>
              <w:t>%</w:t>
            </w:r>
          </w:p>
        </w:tc>
      </w:tr>
      <w:tr w:rsidR="0083202C" w14:paraId="2B5FEED7" w14:textId="77777777" w:rsidTr="005F0C6E">
        <w:tc>
          <w:tcPr>
            <w:tcW w:w="4535" w:type="dxa"/>
            <w:tcBorders>
              <w:bottom w:val="single" w:sz="4" w:space="0" w:color="auto"/>
            </w:tcBorders>
          </w:tcPr>
          <w:p w14:paraId="658AA458" w14:textId="77777777" w:rsidR="0083202C" w:rsidRDefault="0083202C" w:rsidP="005F0C6E">
            <w:pPr>
              <w:pStyle w:val="rd"/>
              <w:spacing w:before="0" w:beforeAutospacing="0" w:after="0" w:afterAutospacing="0"/>
              <w:jc w:val="both"/>
              <w:rPr>
                <w:rFonts w:ascii="Arial" w:hAnsi="Arial" w:cs="Arial"/>
                <w:color w:val="16202C"/>
                <w:sz w:val="20"/>
                <w:szCs w:val="20"/>
              </w:rPr>
            </w:pPr>
          </w:p>
        </w:tc>
        <w:tc>
          <w:tcPr>
            <w:tcW w:w="1701" w:type="dxa"/>
            <w:tcBorders>
              <w:bottom w:val="single" w:sz="4" w:space="0" w:color="auto"/>
            </w:tcBorders>
          </w:tcPr>
          <w:p w14:paraId="12CFC393"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Borders>
              <w:bottom w:val="single" w:sz="4" w:space="0" w:color="auto"/>
            </w:tcBorders>
          </w:tcPr>
          <w:p w14:paraId="478E9EB1"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1701" w:type="dxa"/>
            <w:tcBorders>
              <w:bottom w:val="single" w:sz="4" w:space="0" w:color="auto"/>
            </w:tcBorders>
          </w:tcPr>
          <w:p w14:paraId="456AC04C" w14:textId="77777777" w:rsidR="0083202C" w:rsidRPr="00281460" w:rsidRDefault="0083202C" w:rsidP="005F0C6E">
            <w:pPr>
              <w:pStyle w:val="rd"/>
              <w:spacing w:before="0" w:beforeAutospacing="0" w:after="0" w:afterAutospacing="0"/>
              <w:jc w:val="center"/>
              <w:rPr>
                <w:rFonts w:ascii="Arial" w:hAnsi="Arial" w:cs="Arial"/>
                <w:sz w:val="20"/>
                <w:szCs w:val="20"/>
              </w:rPr>
            </w:pPr>
          </w:p>
        </w:tc>
      </w:tr>
      <w:tr w:rsidR="0083202C" w:rsidRPr="002B25BF" w14:paraId="549F15B6" w14:textId="77777777" w:rsidTr="005F0C6E">
        <w:tc>
          <w:tcPr>
            <w:tcW w:w="4535" w:type="dxa"/>
            <w:tcBorders>
              <w:top w:val="single" w:sz="4" w:space="0" w:color="auto"/>
              <w:bottom w:val="double" w:sz="4" w:space="0" w:color="auto"/>
            </w:tcBorders>
          </w:tcPr>
          <w:p w14:paraId="1A5A6FAC" w14:textId="77777777" w:rsidR="0083202C" w:rsidRPr="002B25BF" w:rsidRDefault="0083202C" w:rsidP="005F0C6E">
            <w:pPr>
              <w:pStyle w:val="rd"/>
              <w:spacing w:before="0" w:beforeAutospacing="0" w:after="0" w:afterAutospacing="0"/>
              <w:jc w:val="both"/>
              <w:rPr>
                <w:rFonts w:ascii="Arial" w:hAnsi="Arial" w:cs="Arial"/>
                <w:b/>
                <w:color w:val="16202C"/>
                <w:sz w:val="20"/>
                <w:szCs w:val="20"/>
              </w:rPr>
            </w:pPr>
            <w:r w:rsidRPr="002B25BF">
              <w:rPr>
                <w:rFonts w:ascii="Arial" w:hAnsi="Arial" w:cs="Arial"/>
                <w:b/>
                <w:color w:val="16202C"/>
                <w:sz w:val="20"/>
                <w:szCs w:val="20"/>
              </w:rPr>
              <w:t>Operating surplus</w:t>
            </w:r>
          </w:p>
        </w:tc>
        <w:tc>
          <w:tcPr>
            <w:tcW w:w="1701" w:type="dxa"/>
            <w:tcBorders>
              <w:top w:val="single" w:sz="4" w:space="0" w:color="auto"/>
              <w:bottom w:val="double" w:sz="4" w:space="0" w:color="auto"/>
            </w:tcBorders>
          </w:tcPr>
          <w:p w14:paraId="1A7ACA7D" w14:textId="77777777" w:rsidR="0083202C" w:rsidRPr="002B25BF"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19.7</w:t>
            </w:r>
          </w:p>
        </w:tc>
        <w:tc>
          <w:tcPr>
            <w:tcW w:w="1701" w:type="dxa"/>
            <w:tcBorders>
              <w:top w:val="single" w:sz="4" w:space="0" w:color="auto"/>
              <w:bottom w:val="double" w:sz="4" w:space="0" w:color="auto"/>
            </w:tcBorders>
          </w:tcPr>
          <w:p w14:paraId="73B6EF4E" w14:textId="77777777" w:rsidR="0083202C" w:rsidRPr="002B25BF" w:rsidRDefault="0083202C" w:rsidP="005F0C6E">
            <w:pPr>
              <w:pStyle w:val="rd"/>
              <w:spacing w:before="0" w:beforeAutospacing="0" w:after="0" w:afterAutospacing="0"/>
              <w:jc w:val="center"/>
              <w:rPr>
                <w:rFonts w:ascii="Arial" w:hAnsi="Arial" w:cs="Arial"/>
                <w:b/>
                <w:color w:val="16202C"/>
                <w:sz w:val="20"/>
                <w:szCs w:val="20"/>
              </w:rPr>
            </w:pPr>
            <w:r>
              <w:rPr>
                <w:rFonts w:ascii="Arial" w:hAnsi="Arial" w:cs="Arial"/>
                <w:b/>
                <w:color w:val="16202C"/>
                <w:sz w:val="20"/>
                <w:szCs w:val="20"/>
              </w:rPr>
              <w:t>16.6</w:t>
            </w:r>
          </w:p>
        </w:tc>
        <w:tc>
          <w:tcPr>
            <w:tcW w:w="1701" w:type="dxa"/>
            <w:tcBorders>
              <w:top w:val="single" w:sz="4" w:space="0" w:color="auto"/>
              <w:bottom w:val="double" w:sz="4" w:space="0" w:color="auto"/>
            </w:tcBorders>
          </w:tcPr>
          <w:p w14:paraId="4C0771A1" w14:textId="77777777" w:rsidR="0083202C" w:rsidRPr="002B25BF" w:rsidRDefault="0083202C" w:rsidP="005F0C6E">
            <w:pPr>
              <w:pStyle w:val="rd"/>
              <w:spacing w:before="0" w:beforeAutospacing="0" w:after="0" w:afterAutospacing="0"/>
              <w:jc w:val="center"/>
              <w:rPr>
                <w:rFonts w:ascii="Arial" w:hAnsi="Arial" w:cs="Arial"/>
                <w:b/>
                <w:sz w:val="20"/>
                <w:szCs w:val="20"/>
              </w:rPr>
            </w:pPr>
            <w:r w:rsidRPr="002B25BF">
              <w:rPr>
                <w:rFonts w:ascii="Arial" w:hAnsi="Arial" w:cs="Arial"/>
                <w:b/>
                <w:sz w:val="20"/>
                <w:szCs w:val="20"/>
              </w:rPr>
              <w:t>(</w:t>
            </w:r>
            <w:r>
              <w:rPr>
                <w:rFonts w:ascii="Arial" w:hAnsi="Arial" w:cs="Arial"/>
                <w:b/>
                <w:sz w:val="20"/>
                <w:szCs w:val="20"/>
              </w:rPr>
              <w:t>15.7</w:t>
            </w:r>
            <w:r w:rsidRPr="002B25BF">
              <w:rPr>
                <w:rFonts w:ascii="Arial" w:hAnsi="Arial" w:cs="Arial"/>
                <w:b/>
                <w:sz w:val="20"/>
                <w:szCs w:val="20"/>
              </w:rPr>
              <w:t>)%</w:t>
            </w:r>
          </w:p>
        </w:tc>
      </w:tr>
    </w:tbl>
    <w:p w14:paraId="7610DA5B"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7F95BCD5" w14:textId="77777777" w:rsidR="0083202C" w:rsidRPr="00CD6396" w:rsidRDefault="0083202C" w:rsidP="0083202C">
      <w:pPr>
        <w:pStyle w:val="rd"/>
        <w:spacing w:before="0" w:beforeAutospacing="0" w:after="0" w:afterAutospacing="0"/>
        <w:jc w:val="both"/>
        <w:rPr>
          <w:rFonts w:ascii="Arial" w:hAnsi="Arial" w:cs="Arial"/>
          <w:color w:val="16202C"/>
          <w:sz w:val="20"/>
          <w:szCs w:val="20"/>
        </w:rPr>
      </w:pPr>
      <w:r w:rsidRPr="00CD6396">
        <w:rPr>
          <w:rFonts w:ascii="Arial" w:hAnsi="Arial" w:cs="Arial"/>
          <w:sz w:val="20"/>
          <w:szCs w:val="20"/>
        </w:rPr>
        <w:t>Turnover increased 11.5% to £</w:t>
      </w:r>
      <w:r w:rsidRPr="00CD6396">
        <w:rPr>
          <w:rStyle w:val="qw"/>
          <w:rFonts w:ascii="Arial" w:hAnsi="Arial" w:cs="Arial"/>
          <w:color w:val="16202C"/>
          <w:sz w:val="20"/>
          <w:szCs w:val="20"/>
        </w:rPr>
        <w:t>109.3 million (2020: £</w:t>
      </w:r>
      <w:r w:rsidRPr="00CD6396">
        <w:rPr>
          <w:rFonts w:ascii="Arial" w:hAnsi="Arial" w:cs="Arial"/>
          <w:sz w:val="20"/>
          <w:szCs w:val="20"/>
        </w:rPr>
        <w:t>98.0</w:t>
      </w:r>
      <w:r w:rsidRPr="00CD6396">
        <w:rPr>
          <w:rStyle w:val="qw"/>
          <w:rFonts w:ascii="Arial" w:hAnsi="Arial" w:cs="Arial"/>
          <w:color w:val="16202C"/>
          <w:sz w:val="20"/>
          <w:szCs w:val="20"/>
        </w:rPr>
        <w:t xml:space="preserve"> million) primarily reflecting increased shared ownership sales, higher care income from contractual price increases and the effect of new schemes coming onboard.</w:t>
      </w:r>
    </w:p>
    <w:p w14:paraId="2E7A2740" w14:textId="77777777" w:rsidR="0083202C" w:rsidRPr="00CD6396" w:rsidRDefault="0083202C" w:rsidP="0083202C">
      <w:pPr>
        <w:pStyle w:val="rd"/>
        <w:spacing w:before="0" w:beforeAutospacing="0" w:after="0" w:afterAutospacing="0"/>
        <w:jc w:val="both"/>
        <w:rPr>
          <w:rFonts w:ascii="Arial" w:hAnsi="Arial" w:cs="Arial"/>
          <w:color w:val="16202C"/>
          <w:sz w:val="20"/>
          <w:szCs w:val="20"/>
        </w:rPr>
      </w:pPr>
    </w:p>
    <w:p w14:paraId="1F407D12" w14:textId="77777777" w:rsidR="0083202C" w:rsidRPr="00CD6396" w:rsidRDefault="0083202C" w:rsidP="0083202C">
      <w:pPr>
        <w:pStyle w:val="rd"/>
        <w:spacing w:before="0" w:beforeAutospacing="0" w:after="0" w:afterAutospacing="0"/>
        <w:jc w:val="both"/>
        <w:rPr>
          <w:rFonts w:ascii="Arial" w:hAnsi="Arial" w:cs="Arial"/>
          <w:color w:val="16202C"/>
          <w:sz w:val="20"/>
          <w:szCs w:val="20"/>
        </w:rPr>
      </w:pPr>
      <w:r w:rsidRPr="00CD6396">
        <w:rPr>
          <w:rFonts w:ascii="Arial" w:hAnsi="Arial" w:cs="Arial"/>
          <w:color w:val="16202C"/>
          <w:sz w:val="20"/>
          <w:szCs w:val="20"/>
        </w:rPr>
        <w:t>Overall costs increased ahead of turnover, by 18.4% to £92.7 million (2020: £78.3 million) driven particularly by development cost of sales, linked to the increase in activity (shared ownership sales of 81 units versus 26 in the prior year) and higher care costs. Care service costs have increased but are fully recovered from residents via their service charge. It also reflects the rebound to more normal levels of repairs and maintenance activities relative to the prior year period. Depreciation has also increased from the on-boarding of new schemes.</w:t>
      </w:r>
    </w:p>
    <w:p w14:paraId="080AE592" w14:textId="77777777" w:rsidR="0083202C" w:rsidRPr="00CD6396" w:rsidRDefault="0083202C" w:rsidP="0083202C">
      <w:pPr>
        <w:pStyle w:val="rd"/>
        <w:spacing w:before="0" w:beforeAutospacing="0" w:after="0" w:afterAutospacing="0"/>
        <w:jc w:val="both"/>
        <w:rPr>
          <w:rFonts w:ascii="Arial" w:hAnsi="Arial" w:cs="Arial"/>
          <w:color w:val="16202C"/>
          <w:sz w:val="20"/>
          <w:szCs w:val="20"/>
        </w:rPr>
      </w:pPr>
    </w:p>
    <w:p w14:paraId="2515D733" w14:textId="77777777" w:rsidR="0083202C" w:rsidRPr="00CD6396" w:rsidRDefault="0083202C" w:rsidP="0083202C">
      <w:pPr>
        <w:pStyle w:val="rd"/>
        <w:spacing w:before="0" w:beforeAutospacing="0" w:after="0" w:afterAutospacing="0"/>
        <w:jc w:val="both"/>
        <w:rPr>
          <w:rFonts w:ascii="Arial" w:hAnsi="Arial" w:cs="Arial"/>
          <w:color w:val="16202C"/>
          <w:sz w:val="20"/>
          <w:szCs w:val="20"/>
        </w:rPr>
      </w:pPr>
      <w:r w:rsidRPr="00CD6396">
        <w:rPr>
          <w:rFonts w:ascii="Arial" w:hAnsi="Arial" w:cs="Arial"/>
          <w:color w:val="16202C"/>
          <w:sz w:val="20"/>
          <w:szCs w:val="20"/>
        </w:rPr>
        <w:t>A number of the drivers of growth in both revenue and costs were driven by the effects of the Covid 19 pandemic on performance particularly in the prior year period.</w:t>
      </w:r>
    </w:p>
    <w:p w14:paraId="51ED8C1A"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2124B3B7" w14:textId="77777777" w:rsidR="0083202C" w:rsidRPr="004C6740" w:rsidRDefault="0083202C" w:rsidP="0083202C">
      <w:pPr>
        <w:pStyle w:val="rd"/>
        <w:spacing w:before="0" w:beforeAutospacing="0" w:after="0" w:afterAutospacing="0"/>
        <w:jc w:val="both"/>
        <w:rPr>
          <w:rFonts w:ascii="Arial" w:hAnsi="Arial" w:cs="Arial"/>
          <w:i/>
          <w:color w:val="16202C"/>
          <w:sz w:val="20"/>
          <w:szCs w:val="20"/>
        </w:rPr>
      </w:pPr>
      <w:r w:rsidRPr="004C6740">
        <w:rPr>
          <w:rFonts w:ascii="Arial" w:hAnsi="Arial" w:cs="Arial"/>
          <w:i/>
          <w:color w:val="16202C"/>
          <w:sz w:val="20"/>
          <w:szCs w:val="20"/>
        </w:rPr>
        <w:t>Development</w:t>
      </w:r>
    </w:p>
    <w:p w14:paraId="180F2709"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1859368D" w14:textId="77777777" w:rsidR="0083202C" w:rsidRDefault="0083202C" w:rsidP="0083202C">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In the six months ended 30 September 2021, development spend amounted to £34 million.</w:t>
      </w:r>
    </w:p>
    <w:p w14:paraId="318E6E21"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4023B697" w14:textId="77777777" w:rsidR="0083202C" w:rsidRPr="00FA1965" w:rsidRDefault="0083202C" w:rsidP="0083202C">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S</w:t>
      </w:r>
      <w:r w:rsidRPr="00FA1965">
        <w:rPr>
          <w:rFonts w:ascii="Arial" w:hAnsi="Arial" w:cs="Arial"/>
          <w:color w:val="16202C"/>
          <w:sz w:val="20"/>
          <w:szCs w:val="20"/>
        </w:rPr>
        <w:t xml:space="preserve">even schemes were completed which added 404 properties (217 rent; 187 shared ownership) to our property portfolio. A further four schemes are expected to complete by 31 March 2022, bringing total completions for the year to nearly 700. We have another six schemes on-site, comprising 321 units (217 rent; 80 shared ownership; and 24 outright sale) for completion by March 2023. </w:t>
      </w:r>
      <w:r>
        <w:rPr>
          <w:rFonts w:ascii="Arial" w:hAnsi="Arial" w:cs="Arial"/>
          <w:color w:val="16202C"/>
          <w:sz w:val="20"/>
          <w:szCs w:val="20"/>
        </w:rPr>
        <w:t>At least s</w:t>
      </w:r>
      <w:r w:rsidRPr="00FA1965">
        <w:rPr>
          <w:rFonts w:ascii="Arial" w:hAnsi="Arial" w:cs="Arial"/>
          <w:color w:val="16202C"/>
          <w:sz w:val="20"/>
          <w:szCs w:val="20"/>
        </w:rPr>
        <w:t xml:space="preserve">ix more schemes are expected to </w:t>
      </w:r>
      <w:r>
        <w:rPr>
          <w:rFonts w:ascii="Arial" w:hAnsi="Arial" w:cs="Arial"/>
          <w:color w:val="16202C"/>
          <w:sz w:val="20"/>
          <w:szCs w:val="20"/>
        </w:rPr>
        <w:t xml:space="preserve">commence construction </w:t>
      </w:r>
      <w:r w:rsidRPr="00FA1965">
        <w:rPr>
          <w:rFonts w:ascii="Arial" w:hAnsi="Arial" w:cs="Arial"/>
          <w:color w:val="16202C"/>
          <w:sz w:val="20"/>
          <w:szCs w:val="20"/>
        </w:rPr>
        <w:t xml:space="preserve">by </w:t>
      </w:r>
      <w:r>
        <w:rPr>
          <w:rFonts w:ascii="Arial" w:hAnsi="Arial" w:cs="Arial"/>
          <w:color w:val="16202C"/>
          <w:sz w:val="20"/>
          <w:szCs w:val="20"/>
        </w:rPr>
        <w:t>31 March 2022</w:t>
      </w:r>
      <w:r w:rsidRPr="00FA1965">
        <w:rPr>
          <w:rFonts w:ascii="Arial" w:hAnsi="Arial" w:cs="Arial"/>
          <w:color w:val="16202C"/>
          <w:sz w:val="20"/>
          <w:szCs w:val="20"/>
        </w:rPr>
        <w:t>.</w:t>
      </w:r>
    </w:p>
    <w:p w14:paraId="35208716"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3BEB34BA" w14:textId="77777777" w:rsidR="0083202C" w:rsidRPr="004C6740" w:rsidRDefault="0083202C" w:rsidP="0083202C">
      <w:pPr>
        <w:pStyle w:val="rd"/>
        <w:spacing w:before="0" w:beforeAutospacing="0" w:after="0" w:afterAutospacing="0"/>
        <w:jc w:val="both"/>
        <w:rPr>
          <w:rFonts w:ascii="Arial" w:hAnsi="Arial" w:cs="Arial"/>
          <w:i/>
          <w:color w:val="16202C"/>
          <w:sz w:val="20"/>
          <w:szCs w:val="20"/>
        </w:rPr>
      </w:pPr>
      <w:r w:rsidRPr="004C6740">
        <w:rPr>
          <w:rFonts w:ascii="Arial" w:hAnsi="Arial" w:cs="Arial"/>
          <w:i/>
          <w:color w:val="16202C"/>
          <w:sz w:val="20"/>
          <w:szCs w:val="20"/>
        </w:rPr>
        <w:t>Treasury and financing</w:t>
      </w:r>
    </w:p>
    <w:p w14:paraId="4952A653" w14:textId="77777777" w:rsidR="0083202C" w:rsidRDefault="0083202C" w:rsidP="0083202C">
      <w:pPr>
        <w:pStyle w:val="rd"/>
        <w:spacing w:before="0" w:beforeAutospacing="0" w:after="0" w:afterAutospacing="0"/>
        <w:jc w:val="both"/>
        <w:rPr>
          <w:rFonts w:ascii="Arial" w:hAnsi="Arial" w:cs="Arial"/>
          <w:color w:val="16202C"/>
          <w:sz w:val="20"/>
          <w:szCs w:val="20"/>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551"/>
        <w:gridCol w:w="2551"/>
      </w:tblGrid>
      <w:tr w:rsidR="0083202C" w:rsidRPr="00F6293E" w14:paraId="08804456" w14:textId="77777777" w:rsidTr="005F0C6E">
        <w:tc>
          <w:tcPr>
            <w:tcW w:w="4535" w:type="dxa"/>
            <w:tcBorders>
              <w:bottom w:val="single" w:sz="4" w:space="0" w:color="auto"/>
            </w:tcBorders>
          </w:tcPr>
          <w:p w14:paraId="02C3A76E" w14:textId="77777777" w:rsidR="0083202C" w:rsidRPr="00F6293E" w:rsidRDefault="0083202C" w:rsidP="005F0C6E">
            <w:pPr>
              <w:pStyle w:val="rd"/>
              <w:spacing w:before="0" w:beforeAutospacing="0" w:after="0" w:afterAutospacing="0"/>
              <w:jc w:val="both"/>
              <w:rPr>
                <w:rFonts w:ascii="Arial" w:hAnsi="Arial" w:cs="Arial"/>
                <w:b/>
                <w:color w:val="16202C"/>
                <w:sz w:val="20"/>
                <w:szCs w:val="20"/>
              </w:rPr>
            </w:pPr>
          </w:p>
        </w:tc>
        <w:tc>
          <w:tcPr>
            <w:tcW w:w="2551" w:type="dxa"/>
            <w:tcBorders>
              <w:bottom w:val="single" w:sz="4" w:space="0" w:color="auto"/>
            </w:tcBorders>
          </w:tcPr>
          <w:p w14:paraId="26FAE24E" w14:textId="77777777" w:rsidR="0083202C" w:rsidRPr="00F6293E" w:rsidRDefault="0083202C" w:rsidP="005F0C6E">
            <w:pPr>
              <w:pStyle w:val="rd"/>
              <w:spacing w:before="0" w:beforeAutospacing="0" w:after="0" w:afterAutospacing="0"/>
              <w:jc w:val="center"/>
              <w:rPr>
                <w:rFonts w:ascii="Arial" w:hAnsi="Arial" w:cs="Arial"/>
                <w:b/>
                <w:color w:val="16202C"/>
                <w:sz w:val="20"/>
                <w:szCs w:val="20"/>
              </w:rPr>
            </w:pPr>
            <w:r w:rsidRPr="00F6293E">
              <w:rPr>
                <w:rFonts w:ascii="Arial" w:hAnsi="Arial" w:cs="Arial"/>
                <w:b/>
                <w:color w:val="16202C"/>
                <w:sz w:val="20"/>
                <w:szCs w:val="20"/>
              </w:rPr>
              <w:t>31 March 2021</w:t>
            </w:r>
          </w:p>
        </w:tc>
        <w:tc>
          <w:tcPr>
            <w:tcW w:w="2551" w:type="dxa"/>
            <w:tcBorders>
              <w:bottom w:val="single" w:sz="4" w:space="0" w:color="auto"/>
            </w:tcBorders>
          </w:tcPr>
          <w:p w14:paraId="01C89EC9" w14:textId="77777777" w:rsidR="0083202C" w:rsidRPr="00F6293E" w:rsidRDefault="0083202C" w:rsidP="005F0C6E">
            <w:pPr>
              <w:pStyle w:val="rd"/>
              <w:spacing w:before="0" w:beforeAutospacing="0" w:after="0" w:afterAutospacing="0"/>
              <w:jc w:val="center"/>
              <w:rPr>
                <w:rFonts w:ascii="Arial" w:hAnsi="Arial" w:cs="Arial"/>
                <w:b/>
                <w:color w:val="16202C"/>
                <w:sz w:val="20"/>
                <w:szCs w:val="20"/>
              </w:rPr>
            </w:pPr>
            <w:r w:rsidRPr="00F6293E">
              <w:rPr>
                <w:rFonts w:ascii="Arial" w:hAnsi="Arial" w:cs="Arial"/>
                <w:b/>
                <w:color w:val="16202C"/>
                <w:sz w:val="20"/>
                <w:szCs w:val="20"/>
              </w:rPr>
              <w:t>30 September 2021</w:t>
            </w:r>
          </w:p>
        </w:tc>
      </w:tr>
      <w:tr w:rsidR="0083202C" w14:paraId="27098EEE" w14:textId="77777777" w:rsidTr="005F0C6E">
        <w:tc>
          <w:tcPr>
            <w:tcW w:w="4535" w:type="dxa"/>
            <w:tcBorders>
              <w:top w:val="single" w:sz="4" w:space="0" w:color="auto"/>
            </w:tcBorders>
          </w:tcPr>
          <w:p w14:paraId="3BCA5D61" w14:textId="77777777" w:rsidR="0083202C" w:rsidRDefault="0083202C" w:rsidP="005F0C6E">
            <w:pPr>
              <w:pStyle w:val="rd"/>
              <w:spacing w:before="0" w:beforeAutospacing="0" w:after="0" w:afterAutospacing="0"/>
              <w:jc w:val="both"/>
              <w:rPr>
                <w:rFonts w:ascii="Arial" w:hAnsi="Arial" w:cs="Arial"/>
                <w:color w:val="16202C"/>
                <w:sz w:val="20"/>
                <w:szCs w:val="20"/>
              </w:rPr>
            </w:pPr>
          </w:p>
        </w:tc>
        <w:tc>
          <w:tcPr>
            <w:tcW w:w="2551" w:type="dxa"/>
            <w:tcBorders>
              <w:top w:val="single" w:sz="4" w:space="0" w:color="auto"/>
            </w:tcBorders>
          </w:tcPr>
          <w:p w14:paraId="5D6D1D4E" w14:textId="77777777" w:rsidR="0083202C" w:rsidRDefault="0083202C" w:rsidP="005F0C6E">
            <w:pPr>
              <w:pStyle w:val="rd"/>
              <w:spacing w:before="0" w:beforeAutospacing="0" w:after="0" w:afterAutospacing="0"/>
              <w:jc w:val="center"/>
              <w:rPr>
                <w:rFonts w:ascii="Arial" w:hAnsi="Arial" w:cs="Arial"/>
                <w:color w:val="16202C"/>
                <w:sz w:val="20"/>
                <w:szCs w:val="20"/>
              </w:rPr>
            </w:pPr>
          </w:p>
        </w:tc>
        <w:tc>
          <w:tcPr>
            <w:tcW w:w="2551" w:type="dxa"/>
            <w:tcBorders>
              <w:top w:val="single" w:sz="4" w:space="0" w:color="auto"/>
            </w:tcBorders>
          </w:tcPr>
          <w:p w14:paraId="3E0A2A67" w14:textId="77777777" w:rsidR="0083202C" w:rsidRDefault="0083202C" w:rsidP="005F0C6E">
            <w:pPr>
              <w:pStyle w:val="rd"/>
              <w:spacing w:before="0" w:beforeAutospacing="0" w:after="0" w:afterAutospacing="0"/>
              <w:jc w:val="center"/>
              <w:rPr>
                <w:rFonts w:ascii="Arial" w:hAnsi="Arial" w:cs="Arial"/>
                <w:color w:val="16202C"/>
                <w:sz w:val="20"/>
                <w:szCs w:val="20"/>
              </w:rPr>
            </w:pPr>
          </w:p>
        </w:tc>
      </w:tr>
      <w:tr w:rsidR="0083202C" w14:paraId="542FC6A9" w14:textId="77777777" w:rsidTr="005F0C6E">
        <w:tc>
          <w:tcPr>
            <w:tcW w:w="4535" w:type="dxa"/>
          </w:tcPr>
          <w:p w14:paraId="34BD0E50"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Gross debt</w:t>
            </w:r>
          </w:p>
        </w:tc>
        <w:tc>
          <w:tcPr>
            <w:tcW w:w="2551" w:type="dxa"/>
          </w:tcPr>
          <w:p w14:paraId="53DAE256"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£673m</w:t>
            </w:r>
          </w:p>
        </w:tc>
        <w:tc>
          <w:tcPr>
            <w:tcW w:w="2551" w:type="dxa"/>
          </w:tcPr>
          <w:p w14:paraId="0F29DDD4"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£662m</w:t>
            </w:r>
          </w:p>
        </w:tc>
      </w:tr>
      <w:tr w:rsidR="0083202C" w14:paraId="1A450507" w14:textId="77777777" w:rsidTr="005F0C6E">
        <w:tc>
          <w:tcPr>
            <w:tcW w:w="4535" w:type="dxa"/>
          </w:tcPr>
          <w:p w14:paraId="47E52786"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Cash</w:t>
            </w:r>
          </w:p>
        </w:tc>
        <w:tc>
          <w:tcPr>
            <w:tcW w:w="2551" w:type="dxa"/>
          </w:tcPr>
          <w:p w14:paraId="3D2A0943"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£233m</w:t>
            </w:r>
          </w:p>
        </w:tc>
        <w:tc>
          <w:tcPr>
            <w:tcW w:w="2551" w:type="dxa"/>
          </w:tcPr>
          <w:p w14:paraId="10B2110E"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£208m</w:t>
            </w:r>
          </w:p>
        </w:tc>
      </w:tr>
      <w:tr w:rsidR="0083202C" w14:paraId="432DB4B7" w14:textId="77777777" w:rsidTr="005F0C6E">
        <w:tc>
          <w:tcPr>
            <w:tcW w:w="4535" w:type="dxa"/>
          </w:tcPr>
          <w:p w14:paraId="64DEA732"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Net debt</w:t>
            </w:r>
          </w:p>
        </w:tc>
        <w:tc>
          <w:tcPr>
            <w:tcW w:w="2551" w:type="dxa"/>
          </w:tcPr>
          <w:p w14:paraId="4CC11835"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£440m</w:t>
            </w:r>
          </w:p>
        </w:tc>
        <w:tc>
          <w:tcPr>
            <w:tcW w:w="2551" w:type="dxa"/>
          </w:tcPr>
          <w:p w14:paraId="26CA8A70"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£454m</w:t>
            </w:r>
          </w:p>
        </w:tc>
      </w:tr>
      <w:tr w:rsidR="0083202C" w14:paraId="68928F0D" w14:textId="77777777" w:rsidTr="005F0C6E">
        <w:tc>
          <w:tcPr>
            <w:tcW w:w="4535" w:type="dxa"/>
          </w:tcPr>
          <w:p w14:paraId="4B7ABC01"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Housing property value</w:t>
            </w:r>
          </w:p>
        </w:tc>
        <w:tc>
          <w:tcPr>
            <w:tcW w:w="2551" w:type="dxa"/>
          </w:tcPr>
          <w:p w14:paraId="3E8B3EF1"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£1,262m</w:t>
            </w:r>
          </w:p>
        </w:tc>
        <w:tc>
          <w:tcPr>
            <w:tcW w:w="2551" w:type="dxa"/>
          </w:tcPr>
          <w:p w14:paraId="7EFA6F73"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£1,319m</w:t>
            </w:r>
          </w:p>
        </w:tc>
      </w:tr>
      <w:tr w:rsidR="0083202C" w14:paraId="6302DDFC" w14:textId="77777777" w:rsidTr="005F0C6E">
        <w:tc>
          <w:tcPr>
            <w:tcW w:w="4535" w:type="dxa"/>
          </w:tcPr>
          <w:p w14:paraId="5986E4BA"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Gearing</w:t>
            </w:r>
          </w:p>
        </w:tc>
        <w:tc>
          <w:tcPr>
            <w:tcW w:w="2551" w:type="dxa"/>
          </w:tcPr>
          <w:p w14:paraId="270188D7"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34.8%</w:t>
            </w:r>
          </w:p>
        </w:tc>
        <w:tc>
          <w:tcPr>
            <w:tcW w:w="2551" w:type="dxa"/>
          </w:tcPr>
          <w:p w14:paraId="00EB6EB6"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34.4%</w:t>
            </w:r>
          </w:p>
        </w:tc>
      </w:tr>
      <w:tr w:rsidR="0083202C" w14:paraId="758FB4FC" w14:textId="77777777" w:rsidTr="005F0C6E">
        <w:tc>
          <w:tcPr>
            <w:tcW w:w="4535" w:type="dxa"/>
          </w:tcPr>
          <w:p w14:paraId="000AEA4A"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Cash and undrawn committed facilities</w:t>
            </w:r>
            <w:r w:rsidRPr="00DC0E24">
              <w:rPr>
                <w:rFonts w:ascii="Arial" w:hAnsi="Arial" w:cs="Arial"/>
                <w:color w:val="16202C"/>
                <w:sz w:val="20"/>
                <w:szCs w:val="20"/>
                <w:vertAlign w:val="superscript"/>
              </w:rPr>
              <w:t>(1)</w:t>
            </w:r>
          </w:p>
        </w:tc>
        <w:tc>
          <w:tcPr>
            <w:tcW w:w="2551" w:type="dxa"/>
          </w:tcPr>
          <w:p w14:paraId="3DCABA60"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£221m</w:t>
            </w:r>
          </w:p>
        </w:tc>
        <w:tc>
          <w:tcPr>
            <w:tcW w:w="2551" w:type="dxa"/>
          </w:tcPr>
          <w:p w14:paraId="255CD623"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color w:val="16202C"/>
                <w:sz w:val="20"/>
                <w:szCs w:val="20"/>
              </w:rPr>
              <w:t>£197m</w:t>
            </w:r>
          </w:p>
        </w:tc>
      </w:tr>
      <w:tr w:rsidR="0083202C" w14:paraId="25E9891A" w14:textId="77777777" w:rsidTr="005F0C6E">
        <w:tc>
          <w:tcPr>
            <w:tcW w:w="4535" w:type="dxa"/>
            <w:tcBorders>
              <w:bottom w:val="single" w:sz="4" w:space="0" w:color="auto"/>
            </w:tcBorders>
          </w:tcPr>
          <w:p w14:paraId="251F1133" w14:textId="77777777" w:rsidR="0083202C" w:rsidRDefault="0083202C" w:rsidP="005F0C6E">
            <w:pPr>
              <w:pStyle w:val="rd"/>
              <w:spacing w:before="0" w:beforeAutospacing="0" w:after="0" w:afterAutospacing="0"/>
              <w:jc w:val="both"/>
              <w:rPr>
                <w:rFonts w:ascii="Arial" w:hAnsi="Arial" w:cs="Arial"/>
                <w:color w:val="16202C"/>
                <w:sz w:val="20"/>
                <w:szCs w:val="20"/>
              </w:rPr>
            </w:pPr>
            <w:r>
              <w:rPr>
                <w:rFonts w:ascii="Arial" w:hAnsi="Arial" w:cs="Arial"/>
                <w:color w:val="16202C"/>
                <w:sz w:val="20"/>
                <w:szCs w:val="20"/>
              </w:rPr>
              <w:t>Liquidity horizon</w:t>
            </w:r>
          </w:p>
        </w:tc>
        <w:tc>
          <w:tcPr>
            <w:tcW w:w="2551" w:type="dxa"/>
            <w:tcBorders>
              <w:bottom w:val="single" w:sz="4" w:space="0" w:color="auto"/>
            </w:tcBorders>
          </w:tcPr>
          <w:p w14:paraId="33E38980"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October 2023</w:t>
            </w:r>
          </w:p>
        </w:tc>
        <w:tc>
          <w:tcPr>
            <w:tcW w:w="2551" w:type="dxa"/>
            <w:tcBorders>
              <w:bottom w:val="single" w:sz="4" w:space="0" w:color="auto"/>
            </w:tcBorders>
          </w:tcPr>
          <w:p w14:paraId="3B1EC147" w14:textId="77777777" w:rsidR="0083202C" w:rsidRDefault="0083202C" w:rsidP="005F0C6E">
            <w:pPr>
              <w:pStyle w:val="rd"/>
              <w:spacing w:before="0" w:beforeAutospacing="0" w:after="0" w:afterAutospacing="0"/>
              <w:jc w:val="center"/>
              <w:rPr>
                <w:rFonts w:ascii="Arial" w:hAnsi="Arial" w:cs="Arial"/>
                <w:color w:val="16202C"/>
                <w:sz w:val="20"/>
                <w:szCs w:val="20"/>
              </w:rPr>
            </w:pPr>
            <w:r>
              <w:rPr>
                <w:rFonts w:ascii="Arial" w:hAnsi="Arial" w:cs="Arial"/>
                <w:sz w:val="20"/>
                <w:szCs w:val="20"/>
              </w:rPr>
              <w:t>February 2024</w:t>
            </w:r>
          </w:p>
        </w:tc>
      </w:tr>
    </w:tbl>
    <w:p w14:paraId="0B3D68CA" w14:textId="77777777" w:rsidR="0083202C" w:rsidRPr="00DC0E24" w:rsidRDefault="0083202C" w:rsidP="0083202C">
      <w:pPr>
        <w:pStyle w:val="rd"/>
        <w:spacing w:before="0" w:beforeAutospacing="0" w:after="0" w:afterAutospacing="0"/>
        <w:jc w:val="both"/>
        <w:rPr>
          <w:rFonts w:ascii="Arial" w:hAnsi="Arial" w:cs="Arial"/>
          <w:color w:val="16202C"/>
          <w:sz w:val="16"/>
          <w:szCs w:val="16"/>
        </w:rPr>
      </w:pPr>
      <w:r w:rsidRPr="00DC0E24">
        <w:rPr>
          <w:rFonts w:ascii="Arial" w:hAnsi="Arial" w:cs="Arial"/>
          <w:color w:val="16202C"/>
          <w:sz w:val="16"/>
          <w:szCs w:val="16"/>
        </w:rPr>
        <w:t>Notes</w:t>
      </w:r>
    </w:p>
    <w:p w14:paraId="4DE9C5A7" w14:textId="77777777" w:rsidR="0083202C" w:rsidRPr="00DC0E24" w:rsidRDefault="0083202C" w:rsidP="0083202C">
      <w:pPr>
        <w:pStyle w:val="rd"/>
        <w:numPr>
          <w:ilvl w:val="0"/>
          <w:numId w:val="6"/>
        </w:numPr>
        <w:spacing w:before="0" w:beforeAutospacing="0" w:after="0" w:afterAutospacing="0"/>
        <w:jc w:val="both"/>
        <w:rPr>
          <w:rFonts w:ascii="Arial" w:hAnsi="Arial" w:cs="Arial"/>
          <w:color w:val="16202C"/>
          <w:sz w:val="16"/>
          <w:szCs w:val="16"/>
        </w:rPr>
      </w:pPr>
      <w:r w:rsidRPr="00DC0E24">
        <w:rPr>
          <w:rFonts w:ascii="Arial" w:hAnsi="Arial" w:cs="Arial"/>
          <w:color w:val="16202C"/>
          <w:sz w:val="16"/>
          <w:szCs w:val="16"/>
        </w:rPr>
        <w:t>Cash for these purposes includes only unrestricted cash</w:t>
      </w:r>
    </w:p>
    <w:p w14:paraId="1C508152" w14:textId="77777777" w:rsidR="0083202C" w:rsidRDefault="0083202C" w:rsidP="0083202C">
      <w:pPr>
        <w:pStyle w:val="rd"/>
        <w:spacing w:before="0" w:beforeAutospacing="0" w:after="0" w:afterAutospacing="0"/>
        <w:jc w:val="both"/>
        <w:rPr>
          <w:rFonts w:ascii="Arial" w:hAnsi="Arial" w:cs="Arial"/>
          <w:color w:val="16202C"/>
          <w:sz w:val="20"/>
          <w:szCs w:val="20"/>
        </w:rPr>
      </w:pPr>
    </w:p>
    <w:p w14:paraId="577DDE9C" w14:textId="77777777" w:rsidR="0083202C" w:rsidRPr="005C3CB8" w:rsidRDefault="0083202C" w:rsidP="0083202C">
      <w:pPr>
        <w:pStyle w:val="rd"/>
        <w:spacing w:before="0" w:beforeAutospacing="0" w:after="0" w:afterAutospacing="0"/>
        <w:jc w:val="both"/>
        <w:rPr>
          <w:rFonts w:ascii="Arial" w:hAnsi="Arial" w:cs="Arial"/>
          <w:color w:val="16202C"/>
          <w:sz w:val="20"/>
          <w:szCs w:val="20"/>
        </w:rPr>
      </w:pPr>
      <w:r w:rsidRPr="005C3CB8">
        <w:rPr>
          <w:rFonts w:ascii="Arial" w:hAnsi="Arial" w:cs="Arial"/>
          <w:color w:val="16202C"/>
          <w:sz w:val="20"/>
          <w:szCs w:val="20"/>
        </w:rPr>
        <w:t xml:space="preserve">At 30 September 2021, </w:t>
      </w:r>
      <w:r w:rsidRPr="005C3CB8">
        <w:rPr>
          <w:rFonts w:ascii="Arial" w:hAnsi="Arial" w:cs="Arial"/>
          <w:sz w:val="20"/>
          <w:szCs w:val="20"/>
        </w:rPr>
        <w:t>Housing 21 had net debt of £454 million (31 March 2021: £440 million) and gearing, as measured using the Regulator of Social Housing’s (RSH) value for money gearing metric, of 34.4% (31 March 2021: 34.8%). However, including the value of private finance initiative and public private partnership assets, primarily within Oldham Retirement Housing Partnership Limited (debt associated with these projects is included in the RSH gearing calculation), gearing was 31.9% (31 March 2021: 32.2%).</w:t>
      </w:r>
    </w:p>
    <w:p w14:paraId="12D1ECE1" w14:textId="77777777" w:rsidR="0083202C" w:rsidRPr="005C3CB8" w:rsidRDefault="0083202C" w:rsidP="0083202C">
      <w:pPr>
        <w:pStyle w:val="rd"/>
        <w:spacing w:before="0" w:beforeAutospacing="0" w:after="0" w:afterAutospacing="0"/>
        <w:jc w:val="both"/>
        <w:rPr>
          <w:rFonts w:ascii="Arial" w:hAnsi="Arial" w:cs="Arial"/>
          <w:sz w:val="20"/>
          <w:szCs w:val="20"/>
        </w:rPr>
      </w:pPr>
    </w:p>
    <w:p w14:paraId="1A791DED" w14:textId="77777777" w:rsidR="0083202C" w:rsidRPr="005C3CB8" w:rsidRDefault="0083202C" w:rsidP="0083202C">
      <w:pPr>
        <w:pStyle w:val="rd"/>
        <w:spacing w:before="0" w:beforeAutospacing="0" w:after="0" w:afterAutospacing="0"/>
        <w:jc w:val="both"/>
        <w:rPr>
          <w:rStyle w:val="qw"/>
          <w:rFonts w:ascii="Arial" w:hAnsi="Arial" w:cs="Arial"/>
          <w:sz w:val="20"/>
          <w:szCs w:val="20"/>
        </w:rPr>
      </w:pPr>
      <w:r w:rsidRPr="005C3CB8">
        <w:rPr>
          <w:rFonts w:ascii="Arial" w:hAnsi="Arial" w:cs="Arial"/>
          <w:sz w:val="20"/>
          <w:szCs w:val="20"/>
        </w:rPr>
        <w:t xml:space="preserve">Our liquidity at 30 September 2021 was sufficient </w:t>
      </w:r>
      <w:r w:rsidRPr="005C3CB8">
        <w:rPr>
          <w:rStyle w:val="qw"/>
          <w:rFonts w:ascii="Arial" w:hAnsi="Arial" w:cs="Arial"/>
          <w:sz w:val="20"/>
          <w:szCs w:val="20"/>
        </w:rPr>
        <w:t>to meet all forecast financing needs until February 2024, taking into account projected operating cash flows, forecast investment in new and existing properties, debt service costs and maturities and forecast grant receipts.</w:t>
      </w:r>
    </w:p>
    <w:p w14:paraId="337DCAB1" w14:textId="77777777" w:rsidR="0083202C" w:rsidRPr="005C3CB8" w:rsidRDefault="0083202C" w:rsidP="0083202C">
      <w:pPr>
        <w:pStyle w:val="rd"/>
        <w:spacing w:before="0" w:beforeAutospacing="0" w:after="0" w:afterAutospacing="0"/>
        <w:jc w:val="both"/>
        <w:rPr>
          <w:rFonts w:ascii="Arial" w:hAnsi="Arial" w:cs="Arial"/>
          <w:sz w:val="20"/>
          <w:szCs w:val="20"/>
        </w:rPr>
      </w:pPr>
    </w:p>
    <w:p w14:paraId="7BD5A79D" w14:textId="77777777" w:rsidR="0083202C" w:rsidRPr="005C3CB8" w:rsidRDefault="0083202C" w:rsidP="0083202C">
      <w:pPr>
        <w:pStyle w:val="rd"/>
        <w:spacing w:before="0" w:beforeAutospacing="0" w:after="0" w:afterAutospacing="0"/>
        <w:jc w:val="both"/>
        <w:rPr>
          <w:rFonts w:ascii="Arial" w:hAnsi="Arial" w:cs="Arial"/>
          <w:color w:val="16202C"/>
          <w:sz w:val="20"/>
          <w:szCs w:val="20"/>
        </w:rPr>
      </w:pPr>
      <w:r w:rsidRPr="005C3CB8">
        <w:rPr>
          <w:rFonts w:ascii="Arial" w:hAnsi="Arial" w:cs="Arial"/>
          <w:sz w:val="20"/>
          <w:szCs w:val="20"/>
        </w:rPr>
        <w:t>However, we continue to actively manage our treasury portfolio and in the near future we expect to repay a high cost legacy loan and terminate early one of a small number of derivatives held by the organisation. These initiatives are expected to utilise approximately £80 million in cash.</w:t>
      </w:r>
    </w:p>
    <w:p w14:paraId="4E8C1E88" w14:textId="77777777" w:rsidR="0083202C" w:rsidRPr="005C3CB8" w:rsidRDefault="0083202C" w:rsidP="0083202C">
      <w:pPr>
        <w:pStyle w:val="rd"/>
        <w:spacing w:before="0" w:beforeAutospacing="0" w:after="0" w:afterAutospacing="0"/>
        <w:jc w:val="both"/>
        <w:rPr>
          <w:rFonts w:ascii="Arial" w:hAnsi="Arial" w:cs="Arial"/>
          <w:color w:val="16202C"/>
          <w:sz w:val="20"/>
          <w:szCs w:val="20"/>
        </w:rPr>
      </w:pPr>
    </w:p>
    <w:p w14:paraId="06C1293E" w14:textId="77777777" w:rsidR="005C3CB8" w:rsidRDefault="005C3CB8" w:rsidP="0083202C">
      <w:pPr>
        <w:jc w:val="both"/>
        <w:rPr>
          <w:rFonts w:cs="Arial"/>
          <w:b/>
          <w:bCs/>
        </w:rPr>
      </w:pPr>
      <w:r>
        <w:rPr>
          <w:rFonts w:cs="Arial"/>
          <w:b/>
          <w:bCs/>
        </w:rPr>
        <w:br w:type="page"/>
      </w:r>
    </w:p>
    <w:p w14:paraId="707C21D8" w14:textId="3C899FB8" w:rsidR="0083202C" w:rsidRDefault="0083202C" w:rsidP="0083202C">
      <w:pPr>
        <w:jc w:val="both"/>
        <w:rPr>
          <w:rFonts w:cs="Arial"/>
          <w:b/>
          <w:bCs/>
        </w:rPr>
      </w:pPr>
      <w:r w:rsidRPr="00C3264B">
        <w:rPr>
          <w:rFonts w:cs="Arial"/>
          <w:b/>
          <w:bCs/>
        </w:rPr>
        <w:lastRenderedPageBreak/>
        <w:t xml:space="preserve">Standard &amp; Poor’s </w:t>
      </w:r>
      <w:r>
        <w:rPr>
          <w:rFonts w:cs="Arial"/>
          <w:b/>
          <w:bCs/>
        </w:rPr>
        <w:t>c</w:t>
      </w:r>
      <w:r w:rsidRPr="00C3264B">
        <w:rPr>
          <w:rFonts w:cs="Arial"/>
          <w:b/>
          <w:bCs/>
        </w:rPr>
        <w:t xml:space="preserve">redit </w:t>
      </w:r>
      <w:r>
        <w:rPr>
          <w:rFonts w:cs="Arial"/>
          <w:b/>
          <w:bCs/>
        </w:rPr>
        <w:t>r</w:t>
      </w:r>
      <w:r w:rsidRPr="00C3264B">
        <w:rPr>
          <w:rFonts w:cs="Arial"/>
          <w:b/>
          <w:bCs/>
        </w:rPr>
        <w:t>ating</w:t>
      </w:r>
    </w:p>
    <w:p w14:paraId="652B3E86" w14:textId="77777777" w:rsidR="0083202C" w:rsidRPr="00C3264B" w:rsidRDefault="0083202C" w:rsidP="0083202C">
      <w:pPr>
        <w:jc w:val="both"/>
        <w:rPr>
          <w:rFonts w:cs="Arial"/>
          <w:b/>
          <w:bCs/>
        </w:rPr>
      </w:pPr>
    </w:p>
    <w:p w14:paraId="470A799D" w14:textId="77777777" w:rsidR="0083202C" w:rsidRDefault="0083202C" w:rsidP="0083202C">
      <w:pPr>
        <w:jc w:val="both"/>
        <w:rPr>
          <w:rFonts w:cs="Arial"/>
        </w:rPr>
      </w:pPr>
      <w:r w:rsidRPr="00F503DE">
        <w:rPr>
          <w:rFonts w:cs="Arial"/>
        </w:rPr>
        <w:t>On 23 July 2021, S&amp;P published the updated rating for Housing 21 as ‘A-’ with a stable outlook.</w:t>
      </w:r>
    </w:p>
    <w:p w14:paraId="77E85B31" w14:textId="77777777" w:rsidR="0083202C" w:rsidRDefault="0083202C" w:rsidP="0083202C">
      <w:pPr>
        <w:jc w:val="both"/>
        <w:rPr>
          <w:rFonts w:cs="Arial"/>
        </w:rPr>
      </w:pPr>
    </w:p>
    <w:p w14:paraId="27FF5ADE" w14:textId="77777777" w:rsidR="0083202C" w:rsidRPr="008818B6" w:rsidRDefault="0083202C" w:rsidP="0083202C">
      <w:pPr>
        <w:jc w:val="both"/>
        <w:rPr>
          <w:rFonts w:cs="Arial"/>
        </w:rPr>
      </w:pPr>
      <w:r w:rsidRPr="008818B6">
        <w:rPr>
          <w:rFonts w:cs="Arial"/>
        </w:rPr>
        <w:t xml:space="preserve">Andy Howarth, Chief Financial Officer for Housing 21 </w:t>
      </w:r>
      <w:r>
        <w:rPr>
          <w:rFonts w:cs="Arial"/>
        </w:rPr>
        <w:t>commented</w:t>
      </w:r>
      <w:r w:rsidRPr="008818B6">
        <w:rPr>
          <w:rFonts w:cs="Arial"/>
        </w:rPr>
        <w:t>:</w:t>
      </w:r>
    </w:p>
    <w:p w14:paraId="0A4DB810" w14:textId="77777777" w:rsidR="0083202C" w:rsidRPr="008818B6" w:rsidRDefault="0083202C" w:rsidP="0083202C">
      <w:pPr>
        <w:jc w:val="both"/>
        <w:rPr>
          <w:rFonts w:cs="Arial"/>
        </w:rPr>
      </w:pPr>
    </w:p>
    <w:p w14:paraId="629B073E" w14:textId="77777777" w:rsidR="0083202C" w:rsidRDefault="0083202C" w:rsidP="0083202C">
      <w:pPr>
        <w:jc w:val="both"/>
        <w:rPr>
          <w:rFonts w:cs="Arial"/>
        </w:rPr>
      </w:pPr>
      <w:r w:rsidRPr="008818B6">
        <w:rPr>
          <w:rFonts w:cs="Arial"/>
        </w:rPr>
        <w:t xml:space="preserve">“The rating recognised the impact that the move to social rents will have on our financial metrics, but the strength of our core business is also recognised with a stable outlook. Our strategy is to continue to deliver high quality housing solutions to older people of modest means. We have excellent satisfaction scores </w:t>
      </w:r>
      <w:r>
        <w:rPr>
          <w:rFonts w:cs="Arial"/>
        </w:rPr>
        <w:t xml:space="preserve">in all our properties </w:t>
      </w:r>
      <w:r w:rsidRPr="008818B6">
        <w:rPr>
          <w:rFonts w:cs="Arial"/>
        </w:rPr>
        <w:t xml:space="preserve">and our integrated care services are rated higher than our peers. With a high level of demand for our homes and services we are confident that we have a robust </w:t>
      </w:r>
      <w:r>
        <w:rPr>
          <w:rFonts w:cs="Arial"/>
        </w:rPr>
        <w:t>business model supported with a strong</w:t>
      </w:r>
      <w:r w:rsidRPr="008818B6">
        <w:rPr>
          <w:rFonts w:cs="Arial"/>
        </w:rPr>
        <w:t xml:space="preserve"> investment-grade rating.”</w:t>
      </w:r>
    </w:p>
    <w:p w14:paraId="7071AFA9" w14:textId="77777777" w:rsidR="0083202C" w:rsidRPr="008D1643" w:rsidRDefault="0083202C" w:rsidP="0083202C">
      <w:pPr>
        <w:jc w:val="both"/>
        <w:rPr>
          <w:rFonts w:cs="Arial"/>
        </w:rPr>
      </w:pPr>
    </w:p>
    <w:p w14:paraId="546CD3F0" w14:textId="77777777" w:rsidR="0083202C" w:rsidRPr="005D3847" w:rsidRDefault="0083202C" w:rsidP="0083202C">
      <w:pPr>
        <w:jc w:val="both"/>
        <w:rPr>
          <w:rFonts w:cs="Arial"/>
          <w:b/>
        </w:rPr>
      </w:pPr>
      <w:r w:rsidRPr="005D3847">
        <w:rPr>
          <w:rFonts w:cs="Arial"/>
          <w:b/>
        </w:rPr>
        <w:t>Outlook</w:t>
      </w:r>
    </w:p>
    <w:p w14:paraId="6E0B8D9A" w14:textId="77777777" w:rsidR="0083202C" w:rsidRPr="008D1643" w:rsidRDefault="0083202C" w:rsidP="0083202C">
      <w:pPr>
        <w:jc w:val="both"/>
        <w:rPr>
          <w:rFonts w:cs="Arial"/>
        </w:rPr>
      </w:pPr>
    </w:p>
    <w:p w14:paraId="4C4450F8" w14:textId="77777777" w:rsidR="0083202C" w:rsidRPr="008D1643" w:rsidRDefault="0083202C" w:rsidP="0083202C">
      <w:pPr>
        <w:jc w:val="both"/>
        <w:rPr>
          <w:rFonts w:cs="Arial"/>
        </w:rPr>
      </w:pPr>
      <w:r>
        <w:rPr>
          <w:rFonts w:cs="Arial"/>
        </w:rPr>
        <w:t xml:space="preserve">Our operating surplus was consistent with budget for the six months ended 30 September 2021 and we expect the 2021/22 full year operating surplus also to be consistent with budget and slightly below the outturn for the year ended 31 March 2021 of </w:t>
      </w:r>
      <w:r w:rsidRPr="005503CD">
        <w:rPr>
          <w:rFonts w:cs="Arial"/>
        </w:rPr>
        <w:t>£35.8 million</w:t>
      </w:r>
      <w:r>
        <w:rPr>
          <w:rFonts w:cs="Arial"/>
        </w:rPr>
        <w:t>.</w:t>
      </w:r>
    </w:p>
    <w:p w14:paraId="73E31607" w14:textId="77777777" w:rsidR="0083202C" w:rsidRPr="008D1643" w:rsidRDefault="0083202C" w:rsidP="0083202C">
      <w:pPr>
        <w:jc w:val="both"/>
        <w:rPr>
          <w:rFonts w:cs="Arial"/>
        </w:rPr>
      </w:pPr>
    </w:p>
    <w:sectPr w:rsidR="0083202C" w:rsidRPr="008D1643" w:rsidSect="007066D9">
      <w:headerReference w:type="even" r:id="rId16"/>
      <w:headerReference w:type="default" r:id="rId17"/>
      <w:footerReference w:type="even" r:id="rId18"/>
      <w:footerReference w:type="default" r:id="rId19"/>
      <w:headerReference w:type="first" r:id="rId20"/>
      <w:footerReference w:type="first" r:id="rId21"/>
      <w:pgSz w:w="11906" w:h="16838" w:code="9"/>
      <w:pgMar w:top="1304" w:right="1304" w:bottom="1134"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AAF5" w14:textId="77777777" w:rsidR="003662B7" w:rsidRDefault="003662B7" w:rsidP="00DE2836">
      <w:r>
        <w:separator/>
      </w:r>
    </w:p>
  </w:endnote>
  <w:endnote w:type="continuationSeparator" w:id="0">
    <w:p w14:paraId="3BDDBAF9" w14:textId="77777777" w:rsidR="003662B7" w:rsidRDefault="003662B7" w:rsidP="00DE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05FE" w14:textId="77777777" w:rsidR="000A508F" w:rsidRDefault="000A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883D" w14:textId="77777777" w:rsidR="000A508F" w:rsidRDefault="000A508F">
    <w:pPr>
      <w:pStyle w:val="Footer"/>
      <w:rPr>
        <w:noProof/>
      </w:rPr>
    </w:pPr>
  </w:p>
  <w:p w14:paraId="678723AF" w14:textId="26463BDE" w:rsidR="003E533C" w:rsidRDefault="000A508F">
    <w:pPr>
      <w:pStyle w:val="Footer"/>
      <w:rPr>
        <w:noProof/>
      </w:rPr>
    </w:pPr>
    <w:r>
      <w:rPr>
        <w:noProof/>
      </w:rPr>
      <w:drawing>
        <wp:anchor distT="0" distB="0" distL="114300" distR="114300" simplePos="0" relativeHeight="251658240" behindDoc="1" locked="0" layoutInCell="1" allowOverlap="1" wp14:anchorId="08B5EAFA" wp14:editId="6CEB9F2C">
          <wp:simplePos x="0" y="0"/>
          <wp:positionH relativeFrom="page">
            <wp:align>right</wp:align>
          </wp:positionH>
          <wp:positionV relativeFrom="paragraph">
            <wp:posOffset>227330</wp:posOffset>
          </wp:positionV>
          <wp:extent cx="7581900" cy="1081928"/>
          <wp:effectExtent l="0" t="0" r="0" b="4445"/>
          <wp:wrapNone/>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081928"/>
                  </a:xfrm>
                  <a:prstGeom prst="rect">
                    <a:avLst/>
                  </a:prstGeom>
                </pic:spPr>
              </pic:pic>
            </a:graphicData>
          </a:graphic>
          <wp14:sizeRelH relativeFrom="page">
            <wp14:pctWidth>0</wp14:pctWidth>
          </wp14:sizeRelH>
          <wp14:sizeRelV relativeFrom="page">
            <wp14:pctHeight>0</wp14:pctHeight>
          </wp14:sizeRelV>
        </wp:anchor>
      </w:drawing>
    </w:r>
  </w:p>
  <w:p w14:paraId="4670D3C7" w14:textId="03AFD11A" w:rsidR="002763A2" w:rsidRDefault="002763A2">
    <w:pPr>
      <w:pStyle w:val="Footer"/>
      <w:rPr>
        <w:noProof/>
      </w:rPr>
    </w:pPr>
  </w:p>
  <w:p w14:paraId="71796603" w14:textId="3851593D" w:rsidR="001D05E9" w:rsidRDefault="001D05E9">
    <w:pPr>
      <w:pStyle w:val="Footer"/>
      <w:rPr>
        <w:noProof/>
      </w:rPr>
    </w:pPr>
  </w:p>
  <w:p w14:paraId="594B706F" w14:textId="01D607DC" w:rsidR="0030704F" w:rsidRDefault="0030704F">
    <w:pPr>
      <w:pStyle w:val="Footer"/>
      <w:rPr>
        <w:noProof/>
      </w:rPr>
    </w:pPr>
  </w:p>
  <w:p w14:paraId="3E25292B" w14:textId="77777777" w:rsidR="009C16F9" w:rsidRDefault="00551195">
    <w:pPr>
      <w:pStyle w:val="Footer"/>
    </w:pPr>
    <w:r>
      <w:rPr>
        <w:noProof/>
      </w:rPr>
      <w:softHyphen/>
    </w:r>
  </w:p>
  <w:p w14:paraId="32A91E1B" w14:textId="44EB6FCD" w:rsidR="009C16F9" w:rsidRDefault="009C1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5CEC" w14:textId="77777777" w:rsidR="000A508F" w:rsidRDefault="000A5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4D2F" w14:textId="77777777" w:rsidR="003662B7" w:rsidRDefault="003662B7" w:rsidP="00DE2836">
      <w:r>
        <w:separator/>
      </w:r>
    </w:p>
  </w:footnote>
  <w:footnote w:type="continuationSeparator" w:id="0">
    <w:p w14:paraId="51D966D2" w14:textId="77777777" w:rsidR="003662B7" w:rsidRDefault="003662B7" w:rsidP="00DE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8F9" w14:textId="77777777" w:rsidR="000A508F" w:rsidRDefault="000A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E734" w14:textId="77777777" w:rsidR="00ED5723" w:rsidRDefault="00866667">
    <w:pPr>
      <w:pStyle w:val="Header"/>
    </w:pPr>
    <w:r>
      <w:rPr>
        <w:noProof/>
      </w:rPr>
      <w:drawing>
        <wp:anchor distT="0" distB="0" distL="114300" distR="114300" simplePos="0" relativeHeight="251657216" behindDoc="0" locked="0" layoutInCell="1" allowOverlap="1" wp14:anchorId="06116322" wp14:editId="6414B989">
          <wp:simplePos x="0" y="0"/>
          <wp:positionH relativeFrom="column">
            <wp:posOffset>3579779</wp:posOffset>
          </wp:positionH>
          <wp:positionV relativeFrom="paragraph">
            <wp:posOffset>-128365</wp:posOffset>
          </wp:positionV>
          <wp:extent cx="2557272" cy="59131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1_Full_Colour_Logo_70mm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272" cy="591312"/>
                  </a:xfrm>
                  <a:prstGeom prst="rect">
                    <a:avLst/>
                  </a:prstGeom>
                </pic:spPr>
              </pic:pic>
            </a:graphicData>
          </a:graphic>
          <wp14:sizeRelH relativeFrom="page">
            <wp14:pctWidth>0</wp14:pctWidth>
          </wp14:sizeRelH>
          <wp14:sizeRelV relativeFrom="page">
            <wp14:pctHeight>0</wp14:pctHeight>
          </wp14:sizeRelV>
        </wp:anchor>
      </w:drawing>
    </w:r>
  </w:p>
  <w:p w14:paraId="14AF8265" w14:textId="77777777" w:rsidR="00ED5723" w:rsidRDefault="00ED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0EA" w14:textId="77777777" w:rsidR="000A508F" w:rsidRDefault="000A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E78"/>
    <w:multiLevelType w:val="hybridMultilevel"/>
    <w:tmpl w:val="210AC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0530B"/>
    <w:multiLevelType w:val="hybridMultilevel"/>
    <w:tmpl w:val="09ECE6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95C02"/>
    <w:multiLevelType w:val="multilevel"/>
    <w:tmpl w:val="0AC22CB2"/>
    <w:lvl w:ilvl="0">
      <w:start w:val="1"/>
      <w:numFmt w:val="decimal"/>
      <w:pStyle w:val="Level1"/>
      <w:lvlText w:val="%1"/>
      <w:lvlJc w:val="left"/>
      <w:pPr>
        <w:tabs>
          <w:tab w:val="num" w:pos="992"/>
        </w:tabs>
        <w:ind w:left="992" w:hanging="992"/>
      </w:pPr>
      <w:rPr>
        <w:rFonts w:ascii="Arial" w:hAnsi="Arial" w:cs="Arial" w:hint="default"/>
        <w:b w:val="0"/>
        <w:bCs w:val="0"/>
        <w:i w:val="0"/>
        <w:iCs w:val="0"/>
        <w:strike w:val="0"/>
        <w:dstrike w:val="0"/>
        <w:color w:val="auto"/>
        <w:sz w:val="21"/>
        <w:szCs w:val="21"/>
        <w:u w:val="none"/>
        <w:effect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strike w:val="0"/>
        <w:dstrike w:val="0"/>
        <w:color w:val="auto"/>
        <w:sz w:val="21"/>
        <w:szCs w:val="21"/>
        <w:u w:val="none"/>
        <w:effect w:val="none"/>
      </w:rPr>
    </w:lvl>
    <w:lvl w:ilvl="2">
      <w:start w:val="1"/>
      <w:numFmt w:val="decimal"/>
      <w:pStyle w:val="Level3"/>
      <w:lvlText w:val="%1.%2.%3"/>
      <w:lvlJc w:val="left"/>
      <w:pPr>
        <w:tabs>
          <w:tab w:val="num" w:pos="992"/>
        </w:tabs>
        <w:ind w:left="992" w:hanging="992"/>
      </w:pPr>
      <w:rPr>
        <w:rFonts w:ascii="Arial" w:hAnsi="Arial" w:cs="Arial" w:hint="default"/>
        <w:b w:val="0"/>
        <w:bCs w:val="0"/>
        <w:i w:val="0"/>
        <w:iCs w:val="0"/>
        <w:strike w:val="0"/>
        <w:dstrike w:val="0"/>
        <w:color w:val="auto"/>
        <w:sz w:val="21"/>
        <w:szCs w:val="21"/>
        <w:u w:val="none"/>
        <w:effect w:val="none"/>
      </w:rPr>
    </w:lvl>
    <w:lvl w:ilvl="3">
      <w:start w:val="1"/>
      <w:numFmt w:val="lowerLetter"/>
      <w:pStyle w:val="Level4"/>
      <w:lvlText w:val="%4"/>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4">
      <w:start w:val="1"/>
      <w:numFmt w:val="lowerRoman"/>
      <w:pStyle w:val="Level5"/>
      <w:lvlText w:val="%5"/>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5">
      <w:start w:val="1"/>
      <w:numFmt w:val="upperLetter"/>
      <w:pStyle w:val="Level6"/>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pStyle w:val="Level7"/>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3" w15:restartNumberingAfterBreak="0">
    <w:nsid w:val="3B4A49A7"/>
    <w:multiLevelType w:val="hybridMultilevel"/>
    <w:tmpl w:val="7C90FEE0"/>
    <w:lvl w:ilvl="0" w:tplc="F3B2AF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7BC5D73"/>
    <w:multiLevelType w:val="hybridMultilevel"/>
    <w:tmpl w:val="9E56D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BF"/>
    <w:rsid w:val="000159E4"/>
    <w:rsid w:val="00042357"/>
    <w:rsid w:val="00053002"/>
    <w:rsid w:val="00055F70"/>
    <w:rsid w:val="0008126E"/>
    <w:rsid w:val="000877D6"/>
    <w:rsid w:val="00093112"/>
    <w:rsid w:val="000A4E2A"/>
    <w:rsid w:val="000A508F"/>
    <w:rsid w:val="00110ABF"/>
    <w:rsid w:val="0011751B"/>
    <w:rsid w:val="00164A0B"/>
    <w:rsid w:val="001C029C"/>
    <w:rsid w:val="001D05E9"/>
    <w:rsid w:val="001F3FBF"/>
    <w:rsid w:val="002763A2"/>
    <w:rsid w:val="0030704F"/>
    <w:rsid w:val="00314C7D"/>
    <w:rsid w:val="003662B7"/>
    <w:rsid w:val="003739B2"/>
    <w:rsid w:val="00373A9B"/>
    <w:rsid w:val="00394394"/>
    <w:rsid w:val="003B12CC"/>
    <w:rsid w:val="003E36ED"/>
    <w:rsid w:val="003E533C"/>
    <w:rsid w:val="004006CC"/>
    <w:rsid w:val="00403A6B"/>
    <w:rsid w:val="004462CC"/>
    <w:rsid w:val="004474C6"/>
    <w:rsid w:val="004836AF"/>
    <w:rsid w:val="0049039D"/>
    <w:rsid w:val="004B2248"/>
    <w:rsid w:val="00551195"/>
    <w:rsid w:val="00571702"/>
    <w:rsid w:val="00595267"/>
    <w:rsid w:val="005C3CB8"/>
    <w:rsid w:val="006840AD"/>
    <w:rsid w:val="0069470E"/>
    <w:rsid w:val="006E7547"/>
    <w:rsid w:val="00703656"/>
    <w:rsid w:val="007066D9"/>
    <w:rsid w:val="00754CF4"/>
    <w:rsid w:val="00780D54"/>
    <w:rsid w:val="007A2066"/>
    <w:rsid w:val="007B56EE"/>
    <w:rsid w:val="0083202C"/>
    <w:rsid w:val="00837CA2"/>
    <w:rsid w:val="00844B44"/>
    <w:rsid w:val="0085782A"/>
    <w:rsid w:val="00866667"/>
    <w:rsid w:val="008734E7"/>
    <w:rsid w:val="008E424B"/>
    <w:rsid w:val="00915C54"/>
    <w:rsid w:val="00930F4A"/>
    <w:rsid w:val="009A617C"/>
    <w:rsid w:val="009C16F9"/>
    <w:rsid w:val="00A27E75"/>
    <w:rsid w:val="00A33935"/>
    <w:rsid w:val="00A40F08"/>
    <w:rsid w:val="00AA0B5E"/>
    <w:rsid w:val="00AA5FE9"/>
    <w:rsid w:val="00B21125"/>
    <w:rsid w:val="00B35E8C"/>
    <w:rsid w:val="00B63BDA"/>
    <w:rsid w:val="00C16070"/>
    <w:rsid w:val="00C374E3"/>
    <w:rsid w:val="00C55C02"/>
    <w:rsid w:val="00C839A3"/>
    <w:rsid w:val="00C83FD2"/>
    <w:rsid w:val="00CD6396"/>
    <w:rsid w:val="00D12C60"/>
    <w:rsid w:val="00D600FB"/>
    <w:rsid w:val="00D769BB"/>
    <w:rsid w:val="00DA265A"/>
    <w:rsid w:val="00DA4A02"/>
    <w:rsid w:val="00DE2836"/>
    <w:rsid w:val="00E020B4"/>
    <w:rsid w:val="00E16F55"/>
    <w:rsid w:val="00E5395B"/>
    <w:rsid w:val="00E60195"/>
    <w:rsid w:val="00EA4174"/>
    <w:rsid w:val="00ED5723"/>
    <w:rsid w:val="00F13784"/>
    <w:rsid w:val="00F15087"/>
    <w:rsid w:val="00F33E68"/>
    <w:rsid w:val="00F4780F"/>
    <w:rsid w:val="00F6293E"/>
    <w:rsid w:val="00F858E6"/>
    <w:rsid w:val="00FD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D098"/>
  <w15:docId w15:val="{750974FA-8DD2-46DE-A5DE-D8F66F6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BF"/>
    <w:rPr>
      <w:rFonts w:ascii="Arial" w:eastAsia="Times New Roman" w:hAnsi="Arial"/>
    </w:rPr>
  </w:style>
  <w:style w:type="paragraph" w:styleId="Heading3">
    <w:name w:val="heading 3"/>
    <w:basedOn w:val="Normal"/>
    <w:link w:val="Heading3Char"/>
    <w:uiPriority w:val="9"/>
    <w:unhideWhenUsed/>
    <w:qFormat/>
    <w:rsid w:val="000A4E2A"/>
    <w:pPr>
      <w:widowControl w:val="0"/>
      <w:autoSpaceDE w:val="0"/>
      <w:autoSpaceDN w:val="0"/>
      <w:ind w:left="678" w:right="2332"/>
      <w:jc w:val="center"/>
      <w:outlineLvl w:val="2"/>
    </w:pPr>
    <w:rPr>
      <w:rFonts w:ascii="Century Gothic" w:eastAsia="Century Gothic" w:hAnsi="Century Gothic" w:cs="Century Gothic"/>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FB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F3FBF"/>
    <w:rPr>
      <w:rFonts w:ascii="Tahoma" w:hAnsi="Tahoma" w:cs="Tahoma"/>
      <w:sz w:val="16"/>
      <w:szCs w:val="16"/>
      <w:lang w:eastAsia="en-US"/>
    </w:rPr>
  </w:style>
  <w:style w:type="character" w:styleId="Hyperlink">
    <w:name w:val="Hyperlink"/>
    <w:basedOn w:val="DefaultParagraphFont"/>
    <w:rsid w:val="001F3FBF"/>
    <w:rPr>
      <w:color w:val="0000FF" w:themeColor="hyperlink"/>
      <w:u w:val="single"/>
    </w:rPr>
  </w:style>
  <w:style w:type="paragraph" w:styleId="Header">
    <w:name w:val="header"/>
    <w:basedOn w:val="Normal"/>
    <w:link w:val="HeaderChar"/>
    <w:uiPriority w:val="99"/>
    <w:unhideWhenUsed/>
    <w:rsid w:val="00DE2836"/>
    <w:pPr>
      <w:tabs>
        <w:tab w:val="center" w:pos="4513"/>
        <w:tab w:val="right" w:pos="9026"/>
      </w:tabs>
    </w:pPr>
  </w:style>
  <w:style w:type="character" w:customStyle="1" w:styleId="HeaderChar">
    <w:name w:val="Header Char"/>
    <w:basedOn w:val="DefaultParagraphFont"/>
    <w:link w:val="Header"/>
    <w:uiPriority w:val="99"/>
    <w:rsid w:val="00DE2836"/>
    <w:rPr>
      <w:rFonts w:ascii="Arial" w:eastAsia="Times New Roman" w:hAnsi="Arial"/>
    </w:rPr>
  </w:style>
  <w:style w:type="paragraph" w:styleId="Footer">
    <w:name w:val="footer"/>
    <w:basedOn w:val="Normal"/>
    <w:link w:val="FooterChar"/>
    <w:uiPriority w:val="99"/>
    <w:unhideWhenUsed/>
    <w:rsid w:val="00DE2836"/>
    <w:pPr>
      <w:tabs>
        <w:tab w:val="center" w:pos="4513"/>
        <w:tab w:val="right" w:pos="9026"/>
      </w:tabs>
    </w:pPr>
  </w:style>
  <w:style w:type="character" w:customStyle="1" w:styleId="FooterChar">
    <w:name w:val="Footer Char"/>
    <w:basedOn w:val="DefaultParagraphFont"/>
    <w:link w:val="Footer"/>
    <w:uiPriority w:val="99"/>
    <w:rsid w:val="00DE2836"/>
    <w:rPr>
      <w:rFonts w:ascii="Arial" w:eastAsia="Times New Roman" w:hAnsi="Arial"/>
    </w:rPr>
  </w:style>
  <w:style w:type="paragraph" w:styleId="NoSpacing">
    <w:name w:val="No Spacing"/>
    <w:uiPriority w:val="1"/>
    <w:qFormat/>
    <w:rsid w:val="0085782A"/>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0A4E2A"/>
    <w:rPr>
      <w:rFonts w:ascii="Century Gothic" w:eastAsia="Century Gothic" w:hAnsi="Century Gothic" w:cs="Century Gothic"/>
      <w:b/>
      <w:bCs/>
      <w:sz w:val="18"/>
      <w:szCs w:val="18"/>
      <w:lang w:eastAsia="en-US"/>
    </w:rPr>
  </w:style>
  <w:style w:type="paragraph" w:styleId="BodyText">
    <w:name w:val="Body Text"/>
    <w:basedOn w:val="Normal"/>
    <w:link w:val="BodyTextChar"/>
    <w:uiPriority w:val="1"/>
    <w:qFormat/>
    <w:rsid w:val="000A4E2A"/>
    <w:pPr>
      <w:widowControl w:val="0"/>
      <w:autoSpaceDE w:val="0"/>
      <w:autoSpaceDN w:val="0"/>
    </w:pPr>
    <w:rPr>
      <w:rFonts w:ascii="Tahoma" w:eastAsia="Tahoma" w:hAnsi="Tahoma" w:cs="Tahoma"/>
      <w:sz w:val="18"/>
      <w:szCs w:val="18"/>
      <w:lang w:eastAsia="en-US"/>
    </w:rPr>
  </w:style>
  <w:style w:type="character" w:customStyle="1" w:styleId="BodyTextChar">
    <w:name w:val="Body Text Char"/>
    <w:basedOn w:val="DefaultParagraphFont"/>
    <w:link w:val="BodyText"/>
    <w:uiPriority w:val="1"/>
    <w:rsid w:val="000A4E2A"/>
    <w:rPr>
      <w:rFonts w:ascii="Tahoma" w:eastAsia="Tahoma" w:hAnsi="Tahoma" w:cs="Tahoma"/>
      <w:sz w:val="18"/>
      <w:szCs w:val="18"/>
      <w:lang w:eastAsia="en-US"/>
    </w:rPr>
  </w:style>
  <w:style w:type="character" w:customStyle="1" w:styleId="BodyChar">
    <w:name w:val="Body Char"/>
    <w:link w:val="Body"/>
    <w:locked/>
    <w:rsid w:val="006E7547"/>
    <w:rPr>
      <w:rFonts w:ascii="Arial" w:eastAsia="Times New Roman" w:hAnsi="Arial" w:cs="Arial"/>
      <w:sz w:val="21"/>
      <w:szCs w:val="21"/>
    </w:rPr>
  </w:style>
  <w:style w:type="paragraph" w:customStyle="1" w:styleId="Body">
    <w:name w:val="Body"/>
    <w:basedOn w:val="Normal"/>
    <w:link w:val="BodyChar"/>
    <w:qFormat/>
    <w:rsid w:val="006E7547"/>
    <w:pPr>
      <w:spacing w:after="240" w:line="276" w:lineRule="auto"/>
      <w:jc w:val="both"/>
    </w:pPr>
    <w:rPr>
      <w:rFonts w:cs="Arial"/>
      <w:sz w:val="21"/>
      <w:szCs w:val="21"/>
    </w:rPr>
  </w:style>
  <w:style w:type="paragraph" w:customStyle="1" w:styleId="Body1">
    <w:name w:val="Body 1"/>
    <w:basedOn w:val="Body"/>
    <w:qFormat/>
    <w:rsid w:val="006E7547"/>
    <w:pPr>
      <w:tabs>
        <w:tab w:val="left" w:pos="992"/>
        <w:tab w:val="left" w:pos="1701"/>
      </w:tabs>
      <w:ind w:left="992"/>
    </w:pPr>
  </w:style>
  <w:style w:type="paragraph" w:customStyle="1" w:styleId="Level1">
    <w:name w:val="Level 1"/>
    <w:basedOn w:val="Body1"/>
    <w:next w:val="Body1"/>
    <w:qFormat/>
    <w:rsid w:val="006E7547"/>
    <w:pPr>
      <w:numPr>
        <w:numId w:val="1"/>
      </w:numPr>
      <w:tabs>
        <w:tab w:val="clear" w:pos="1701"/>
        <w:tab w:val="num" w:pos="360"/>
        <w:tab w:val="left" w:pos="992"/>
      </w:tabs>
      <w:ind w:firstLine="0"/>
      <w:outlineLvl w:val="0"/>
    </w:pPr>
  </w:style>
  <w:style w:type="paragraph" w:customStyle="1" w:styleId="Level2">
    <w:name w:val="Level 2"/>
    <w:basedOn w:val="Normal"/>
    <w:next w:val="Normal"/>
    <w:qFormat/>
    <w:rsid w:val="006E7547"/>
    <w:pPr>
      <w:numPr>
        <w:ilvl w:val="1"/>
        <w:numId w:val="1"/>
      </w:numPr>
      <w:tabs>
        <w:tab w:val="left" w:pos="2016"/>
        <w:tab w:val="left" w:pos="3024"/>
        <w:tab w:val="left" w:pos="4032"/>
        <w:tab w:val="left" w:pos="5040"/>
        <w:tab w:val="left" w:pos="6048"/>
        <w:tab w:val="left" w:pos="7056"/>
        <w:tab w:val="left" w:pos="8064"/>
        <w:tab w:val="right" w:pos="9029"/>
      </w:tabs>
      <w:spacing w:after="240" w:line="276" w:lineRule="auto"/>
      <w:jc w:val="both"/>
      <w:outlineLvl w:val="1"/>
    </w:pPr>
    <w:rPr>
      <w:rFonts w:cs="Arial"/>
      <w:sz w:val="21"/>
      <w:szCs w:val="21"/>
    </w:rPr>
  </w:style>
  <w:style w:type="paragraph" w:customStyle="1" w:styleId="Level3">
    <w:name w:val="Level 3"/>
    <w:basedOn w:val="Normal"/>
    <w:next w:val="Normal"/>
    <w:qFormat/>
    <w:rsid w:val="006E7547"/>
    <w:pPr>
      <w:numPr>
        <w:ilvl w:val="2"/>
        <w:numId w:val="1"/>
      </w:num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cs="Arial"/>
      <w:sz w:val="21"/>
      <w:szCs w:val="21"/>
    </w:rPr>
  </w:style>
  <w:style w:type="paragraph" w:customStyle="1" w:styleId="Level4">
    <w:name w:val="Level 4"/>
    <w:basedOn w:val="Normal"/>
    <w:next w:val="Normal"/>
    <w:qFormat/>
    <w:rsid w:val="006E7547"/>
    <w:pPr>
      <w:numPr>
        <w:ilvl w:val="3"/>
        <w:numId w:val="1"/>
      </w:numPr>
      <w:tabs>
        <w:tab w:val="left" w:pos="3024"/>
        <w:tab w:val="left" w:pos="4032"/>
        <w:tab w:val="left" w:pos="5040"/>
        <w:tab w:val="left" w:pos="6048"/>
        <w:tab w:val="left" w:pos="7056"/>
        <w:tab w:val="left" w:pos="8064"/>
        <w:tab w:val="right" w:pos="9029"/>
      </w:tabs>
      <w:spacing w:after="240" w:line="276" w:lineRule="auto"/>
      <w:jc w:val="both"/>
      <w:outlineLvl w:val="3"/>
    </w:pPr>
    <w:rPr>
      <w:rFonts w:cs="Arial"/>
      <w:sz w:val="21"/>
      <w:szCs w:val="21"/>
    </w:rPr>
  </w:style>
  <w:style w:type="paragraph" w:customStyle="1" w:styleId="Level5">
    <w:name w:val="Level 5"/>
    <w:basedOn w:val="Normal"/>
    <w:next w:val="Normal"/>
    <w:qFormat/>
    <w:rsid w:val="006E7547"/>
    <w:pPr>
      <w:numPr>
        <w:ilvl w:val="4"/>
        <w:numId w:val="1"/>
      </w:numPr>
      <w:tabs>
        <w:tab w:val="left" w:pos="3024"/>
        <w:tab w:val="left" w:pos="4032"/>
        <w:tab w:val="left" w:pos="5040"/>
        <w:tab w:val="left" w:pos="6048"/>
        <w:tab w:val="left" w:pos="7056"/>
        <w:tab w:val="left" w:pos="8064"/>
        <w:tab w:val="right" w:pos="9029"/>
      </w:tabs>
      <w:spacing w:after="240" w:line="276" w:lineRule="auto"/>
      <w:jc w:val="both"/>
      <w:outlineLvl w:val="4"/>
    </w:pPr>
    <w:rPr>
      <w:rFonts w:cs="Arial"/>
      <w:sz w:val="21"/>
      <w:szCs w:val="21"/>
    </w:rPr>
  </w:style>
  <w:style w:type="paragraph" w:customStyle="1" w:styleId="Level6">
    <w:name w:val="Level 6"/>
    <w:basedOn w:val="Normal"/>
    <w:next w:val="Normal"/>
    <w:qFormat/>
    <w:rsid w:val="006E7547"/>
    <w:pPr>
      <w:numPr>
        <w:ilvl w:val="5"/>
        <w:numId w:val="1"/>
      </w:numPr>
      <w:tabs>
        <w:tab w:val="left" w:pos="3024"/>
        <w:tab w:val="left" w:pos="4032"/>
        <w:tab w:val="left" w:pos="5040"/>
        <w:tab w:val="left" w:pos="6048"/>
        <w:tab w:val="left" w:pos="7056"/>
        <w:tab w:val="left" w:pos="8064"/>
        <w:tab w:val="right" w:pos="9029"/>
      </w:tabs>
      <w:spacing w:after="240" w:line="276" w:lineRule="auto"/>
      <w:jc w:val="both"/>
      <w:outlineLvl w:val="5"/>
    </w:pPr>
    <w:rPr>
      <w:rFonts w:cs="Arial"/>
      <w:sz w:val="21"/>
      <w:szCs w:val="21"/>
    </w:rPr>
  </w:style>
  <w:style w:type="paragraph" w:customStyle="1" w:styleId="Level7">
    <w:name w:val="Level 7"/>
    <w:basedOn w:val="Normal"/>
    <w:next w:val="Normal"/>
    <w:qFormat/>
    <w:rsid w:val="006E7547"/>
    <w:pPr>
      <w:numPr>
        <w:ilvl w:val="6"/>
        <w:numId w:val="1"/>
      </w:numPr>
      <w:tabs>
        <w:tab w:val="left" w:pos="3024"/>
        <w:tab w:val="left" w:pos="4032"/>
        <w:tab w:val="left" w:pos="5040"/>
        <w:tab w:val="left" w:pos="6048"/>
        <w:tab w:val="left" w:pos="7056"/>
        <w:tab w:val="left" w:pos="8064"/>
        <w:tab w:val="right" w:pos="9029"/>
      </w:tabs>
      <w:spacing w:after="240" w:line="276" w:lineRule="auto"/>
      <w:jc w:val="both"/>
      <w:outlineLvl w:val="6"/>
    </w:pPr>
    <w:rPr>
      <w:rFonts w:cs="Arial"/>
      <w:sz w:val="21"/>
      <w:szCs w:val="21"/>
    </w:rPr>
  </w:style>
  <w:style w:type="paragraph" w:customStyle="1" w:styleId="Level8">
    <w:name w:val="Level 8"/>
    <w:basedOn w:val="Normal"/>
    <w:next w:val="Normal"/>
    <w:qFormat/>
    <w:rsid w:val="006E7547"/>
    <w:pPr>
      <w:numPr>
        <w:ilvl w:val="7"/>
        <w:numId w:val="1"/>
      </w:numPr>
      <w:tabs>
        <w:tab w:val="left" w:pos="3024"/>
        <w:tab w:val="left" w:pos="4032"/>
        <w:tab w:val="left" w:pos="5040"/>
        <w:tab w:val="left" w:pos="6048"/>
        <w:tab w:val="left" w:pos="7056"/>
        <w:tab w:val="left" w:pos="8064"/>
        <w:tab w:val="right" w:pos="9029"/>
      </w:tabs>
      <w:spacing w:after="240" w:line="276" w:lineRule="auto"/>
      <w:jc w:val="both"/>
      <w:outlineLvl w:val="7"/>
    </w:pPr>
    <w:rPr>
      <w:rFonts w:cs="Arial"/>
      <w:sz w:val="21"/>
      <w:szCs w:val="21"/>
    </w:rPr>
  </w:style>
  <w:style w:type="paragraph" w:styleId="ListParagraph">
    <w:name w:val="List Paragraph"/>
    <w:basedOn w:val="Normal"/>
    <w:uiPriority w:val="34"/>
    <w:qFormat/>
    <w:rsid w:val="0083202C"/>
    <w:pPr>
      <w:ind w:left="720"/>
      <w:contextualSpacing/>
    </w:pPr>
    <w:rPr>
      <w:rFonts w:ascii="Times New Roman" w:hAnsi="Times New Roman"/>
      <w:sz w:val="24"/>
      <w:szCs w:val="24"/>
      <w:lang w:eastAsia="en-US"/>
    </w:rPr>
  </w:style>
  <w:style w:type="paragraph" w:customStyle="1" w:styleId="rn">
    <w:name w:val="rn"/>
    <w:basedOn w:val="Normal"/>
    <w:rsid w:val="0083202C"/>
    <w:pPr>
      <w:spacing w:before="100" w:beforeAutospacing="1" w:after="100" w:afterAutospacing="1"/>
    </w:pPr>
    <w:rPr>
      <w:rFonts w:ascii="Times New Roman" w:hAnsi="Times New Roman"/>
      <w:sz w:val="24"/>
      <w:szCs w:val="24"/>
    </w:rPr>
  </w:style>
  <w:style w:type="character" w:customStyle="1" w:styleId="qw">
    <w:name w:val="qw"/>
    <w:basedOn w:val="DefaultParagraphFont"/>
    <w:rsid w:val="0083202C"/>
  </w:style>
  <w:style w:type="paragraph" w:customStyle="1" w:styleId="ra">
    <w:name w:val="ra"/>
    <w:basedOn w:val="Normal"/>
    <w:rsid w:val="0083202C"/>
    <w:pPr>
      <w:spacing w:before="100" w:beforeAutospacing="1" w:after="100" w:afterAutospacing="1"/>
    </w:pPr>
    <w:rPr>
      <w:rFonts w:ascii="Times New Roman" w:hAnsi="Times New Roman"/>
      <w:sz w:val="24"/>
      <w:szCs w:val="24"/>
    </w:rPr>
  </w:style>
  <w:style w:type="paragraph" w:customStyle="1" w:styleId="rb">
    <w:name w:val="rb"/>
    <w:basedOn w:val="Normal"/>
    <w:rsid w:val="0083202C"/>
    <w:pPr>
      <w:spacing w:before="100" w:beforeAutospacing="1" w:after="100" w:afterAutospacing="1"/>
    </w:pPr>
    <w:rPr>
      <w:rFonts w:ascii="Times New Roman" w:hAnsi="Times New Roman"/>
      <w:sz w:val="24"/>
      <w:szCs w:val="24"/>
    </w:rPr>
  </w:style>
  <w:style w:type="paragraph" w:customStyle="1" w:styleId="ri">
    <w:name w:val="ri"/>
    <w:basedOn w:val="Normal"/>
    <w:rsid w:val="0083202C"/>
    <w:pPr>
      <w:spacing w:before="100" w:beforeAutospacing="1" w:after="100" w:afterAutospacing="1"/>
    </w:pPr>
    <w:rPr>
      <w:rFonts w:ascii="Times New Roman" w:hAnsi="Times New Roman"/>
      <w:sz w:val="24"/>
      <w:szCs w:val="24"/>
    </w:rPr>
  </w:style>
  <w:style w:type="paragraph" w:customStyle="1" w:styleId="rj">
    <w:name w:val="rj"/>
    <w:basedOn w:val="Normal"/>
    <w:rsid w:val="0083202C"/>
    <w:pPr>
      <w:spacing w:before="100" w:beforeAutospacing="1" w:after="100" w:afterAutospacing="1"/>
    </w:pPr>
    <w:rPr>
      <w:rFonts w:ascii="Times New Roman" w:hAnsi="Times New Roman"/>
      <w:sz w:val="24"/>
      <w:szCs w:val="24"/>
    </w:rPr>
  </w:style>
  <w:style w:type="paragraph" w:customStyle="1" w:styleId="rc">
    <w:name w:val="rc"/>
    <w:basedOn w:val="Normal"/>
    <w:rsid w:val="0083202C"/>
    <w:pPr>
      <w:spacing w:before="100" w:beforeAutospacing="1" w:after="100" w:afterAutospacing="1"/>
    </w:pPr>
    <w:rPr>
      <w:rFonts w:ascii="Times New Roman" w:hAnsi="Times New Roman"/>
      <w:sz w:val="24"/>
      <w:szCs w:val="24"/>
    </w:rPr>
  </w:style>
  <w:style w:type="paragraph" w:customStyle="1" w:styleId="rd">
    <w:name w:val="rd"/>
    <w:basedOn w:val="Normal"/>
    <w:rsid w:val="0083202C"/>
    <w:pPr>
      <w:spacing w:before="100" w:beforeAutospacing="1" w:after="100" w:afterAutospacing="1"/>
    </w:pPr>
    <w:rPr>
      <w:rFonts w:ascii="Times New Roman" w:hAnsi="Times New Roman"/>
      <w:sz w:val="24"/>
      <w:szCs w:val="24"/>
    </w:rPr>
  </w:style>
  <w:style w:type="character" w:customStyle="1" w:styleId="pm">
    <w:name w:val="pm"/>
    <w:basedOn w:val="DefaultParagraphFont"/>
    <w:rsid w:val="0083202C"/>
  </w:style>
  <w:style w:type="paragraph" w:customStyle="1" w:styleId="rq">
    <w:name w:val="rq"/>
    <w:basedOn w:val="Normal"/>
    <w:rsid w:val="0083202C"/>
    <w:pPr>
      <w:spacing w:before="100" w:beforeAutospacing="1" w:after="100" w:afterAutospacing="1"/>
    </w:pPr>
    <w:rPr>
      <w:rFonts w:ascii="Times New Roman" w:hAnsi="Times New Roman"/>
      <w:sz w:val="24"/>
      <w:szCs w:val="24"/>
    </w:rPr>
  </w:style>
  <w:style w:type="character" w:customStyle="1" w:styleId="pl">
    <w:name w:val="pl"/>
    <w:basedOn w:val="DefaultParagraphFont"/>
    <w:rsid w:val="0083202C"/>
  </w:style>
  <w:style w:type="character" w:customStyle="1" w:styleId="pj">
    <w:name w:val="pj"/>
    <w:basedOn w:val="DefaultParagraphFont"/>
    <w:rsid w:val="0083202C"/>
  </w:style>
  <w:style w:type="character" w:customStyle="1" w:styleId="pi">
    <w:name w:val="pi"/>
    <w:basedOn w:val="DefaultParagraphFont"/>
    <w:rsid w:val="0083202C"/>
  </w:style>
  <w:style w:type="character" w:customStyle="1" w:styleId="ph">
    <w:name w:val="ph"/>
    <w:basedOn w:val="DefaultParagraphFont"/>
    <w:rsid w:val="0083202C"/>
  </w:style>
  <w:style w:type="character" w:customStyle="1" w:styleId="pg">
    <w:name w:val="pg"/>
    <w:basedOn w:val="DefaultParagraphFont"/>
    <w:rsid w:val="0083202C"/>
  </w:style>
  <w:style w:type="table" w:styleId="TableGrid">
    <w:name w:val="Table Grid"/>
    <w:basedOn w:val="TableNormal"/>
    <w:rsid w:val="008320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730">
      <w:bodyDiv w:val="1"/>
      <w:marLeft w:val="0"/>
      <w:marRight w:val="0"/>
      <w:marTop w:val="0"/>
      <w:marBottom w:val="0"/>
      <w:divBdr>
        <w:top w:val="none" w:sz="0" w:space="0" w:color="auto"/>
        <w:left w:val="none" w:sz="0" w:space="0" w:color="auto"/>
        <w:bottom w:val="none" w:sz="0" w:space="0" w:color="auto"/>
        <w:right w:val="none" w:sz="0" w:space="0" w:color="auto"/>
      </w:divBdr>
    </w:div>
    <w:div w:id="906916385">
      <w:bodyDiv w:val="1"/>
      <w:marLeft w:val="0"/>
      <w:marRight w:val="0"/>
      <w:marTop w:val="0"/>
      <w:marBottom w:val="0"/>
      <w:divBdr>
        <w:top w:val="none" w:sz="0" w:space="0" w:color="auto"/>
        <w:left w:val="none" w:sz="0" w:space="0" w:color="auto"/>
        <w:bottom w:val="none" w:sz="0" w:space="0" w:color="auto"/>
        <w:right w:val="none" w:sz="0" w:space="0" w:color="auto"/>
      </w:divBdr>
    </w:div>
    <w:div w:id="921914028">
      <w:bodyDiv w:val="1"/>
      <w:marLeft w:val="0"/>
      <w:marRight w:val="0"/>
      <w:marTop w:val="0"/>
      <w:marBottom w:val="0"/>
      <w:divBdr>
        <w:top w:val="none" w:sz="0" w:space="0" w:color="auto"/>
        <w:left w:val="none" w:sz="0" w:space="0" w:color="auto"/>
        <w:bottom w:val="none" w:sz="0" w:space="0" w:color="auto"/>
        <w:right w:val="none" w:sz="0" w:space="0" w:color="auto"/>
      </w:divBdr>
    </w:div>
    <w:div w:id="1000238908">
      <w:bodyDiv w:val="1"/>
      <w:marLeft w:val="0"/>
      <w:marRight w:val="0"/>
      <w:marTop w:val="0"/>
      <w:marBottom w:val="0"/>
      <w:divBdr>
        <w:top w:val="none" w:sz="0" w:space="0" w:color="auto"/>
        <w:left w:val="none" w:sz="0" w:space="0" w:color="auto"/>
        <w:bottom w:val="none" w:sz="0" w:space="0" w:color="auto"/>
        <w:right w:val="none" w:sz="0" w:space="0" w:color="auto"/>
      </w:divBdr>
    </w:div>
    <w:div w:id="1182861524">
      <w:bodyDiv w:val="1"/>
      <w:marLeft w:val="0"/>
      <w:marRight w:val="0"/>
      <w:marTop w:val="0"/>
      <w:marBottom w:val="0"/>
      <w:divBdr>
        <w:top w:val="none" w:sz="0" w:space="0" w:color="auto"/>
        <w:left w:val="none" w:sz="0" w:space="0" w:color="auto"/>
        <w:bottom w:val="none" w:sz="0" w:space="0" w:color="auto"/>
        <w:right w:val="none" w:sz="0" w:space="0" w:color="auto"/>
      </w:divBdr>
    </w:div>
    <w:div w:id="20296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alroadshow.com/e/HOUSE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ealroadshow.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21.org.uk/corporate/investors/corporate-reports/" TargetMode="External"/><Relationship Id="rId5" Type="http://schemas.openxmlformats.org/officeDocument/2006/relationships/numbering" Target="numbering.xml"/><Relationship Id="rId15" Type="http://schemas.openxmlformats.org/officeDocument/2006/relationships/hyperlink" Target="mailto:communications@housing21.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howarth@housing21.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FB0C9B306AE43B49206B42D27519C" ma:contentTypeVersion="" ma:contentTypeDescription="Create a new document." ma:contentTypeScope="" ma:versionID="26aef566acdba6e752c8ee6331c85859">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10DF5-24DC-4C81-B68C-1601951EBC81}">
  <ds:schemaRefs>
    <ds:schemaRef ds:uri="http://schemas.openxmlformats.org/officeDocument/2006/bibliography"/>
  </ds:schemaRefs>
</ds:datastoreItem>
</file>

<file path=customXml/itemProps2.xml><?xml version="1.0" encoding="utf-8"?>
<ds:datastoreItem xmlns:ds="http://schemas.openxmlformats.org/officeDocument/2006/customXml" ds:itemID="{A5FD4062-925D-4EE9-9F0F-6A4B72BFF17E}">
  <ds:schemaRefs>
    <ds:schemaRef ds:uri="http://schemas.microsoft.com/sharepoint/v3/contenttype/forms"/>
  </ds:schemaRefs>
</ds:datastoreItem>
</file>

<file path=customXml/itemProps3.xml><?xml version="1.0" encoding="utf-8"?>
<ds:datastoreItem xmlns:ds="http://schemas.openxmlformats.org/officeDocument/2006/customXml" ds:itemID="{E434BE21-E6EC-45D0-980B-5994EB0C30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13E80B-A6EC-4286-B6DD-F1115E0B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Housing &amp; Care 21</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Taddei</dc:creator>
  <cp:lastModifiedBy>Faez Ahmed</cp:lastModifiedBy>
  <cp:revision>3</cp:revision>
  <cp:lastPrinted>2017-06-21T08:31:00Z</cp:lastPrinted>
  <dcterms:created xsi:type="dcterms:W3CDTF">2021-11-28T15:44:00Z</dcterms:created>
  <dcterms:modified xsi:type="dcterms:W3CDTF">2021-11-29T13:10:00Z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0x0101009A8FB0C9B306AE43B49206B42D27519C</vt:lpwstr>
  </property>
</Properties>
</file>