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EE0F" w14:textId="48EB0A59" w:rsidR="00DB01D9" w:rsidRDefault="00824291" w:rsidP="00824291">
      <w:pPr>
        <w:jc w:val="right"/>
        <w:rPr>
          <w:rFonts w:asciiTheme="minorHAnsi" w:hAnsiTheme="minorHAnsi" w:cs="Arial"/>
          <w:b/>
          <w:color w:val="003B64"/>
          <w:sz w:val="36"/>
          <w:szCs w:val="36"/>
        </w:rPr>
      </w:pPr>
      <w:r>
        <w:rPr>
          <w:noProof/>
        </w:rPr>
        <w:drawing>
          <wp:inline distT="0" distB="0" distL="0" distR="0" wp14:anchorId="5EDB2CF3" wp14:editId="19585300">
            <wp:extent cx="2001520" cy="577850"/>
            <wp:effectExtent l="0" t="0" r="0" b="0"/>
            <wp:docPr id="1"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1520" cy="577850"/>
                    </a:xfrm>
                    <a:prstGeom prst="rect">
                      <a:avLst/>
                    </a:prstGeom>
                    <a:noFill/>
                    <a:ln>
                      <a:noFill/>
                    </a:ln>
                  </pic:spPr>
                </pic:pic>
              </a:graphicData>
            </a:graphic>
          </wp:inline>
        </w:drawing>
      </w:r>
    </w:p>
    <w:p w14:paraId="7B3F2A45" w14:textId="6AD5756F" w:rsidR="00063F3D" w:rsidRPr="005A12D8" w:rsidRDefault="00FC01F5" w:rsidP="00063F3D">
      <w:pPr>
        <w:jc w:val="center"/>
        <w:rPr>
          <w:rFonts w:asciiTheme="minorHAnsi" w:hAnsiTheme="minorHAnsi" w:cs="Arial"/>
          <w:b/>
          <w:color w:val="0070C0"/>
          <w:sz w:val="36"/>
          <w:szCs w:val="36"/>
        </w:rPr>
      </w:pPr>
      <w:r w:rsidRPr="005A12D8">
        <w:rPr>
          <w:rFonts w:asciiTheme="minorHAnsi" w:hAnsiTheme="minorHAnsi" w:cs="Arial"/>
          <w:b/>
          <w:color w:val="0070C0"/>
          <w:sz w:val="36"/>
          <w:szCs w:val="36"/>
        </w:rPr>
        <w:t>Current</w:t>
      </w:r>
      <w:r w:rsidR="00797EE3">
        <w:rPr>
          <w:rFonts w:asciiTheme="minorHAnsi" w:hAnsiTheme="minorHAnsi" w:cs="Arial"/>
          <w:b/>
          <w:color w:val="0070C0"/>
          <w:sz w:val="36"/>
          <w:szCs w:val="36"/>
        </w:rPr>
        <w:t xml:space="preserve"> and </w:t>
      </w:r>
      <w:r w:rsidRPr="005A12D8">
        <w:rPr>
          <w:rFonts w:asciiTheme="minorHAnsi" w:hAnsiTheme="minorHAnsi" w:cs="Arial"/>
          <w:b/>
          <w:color w:val="0070C0"/>
          <w:sz w:val="36"/>
          <w:szCs w:val="36"/>
        </w:rPr>
        <w:t xml:space="preserve">Former Tenants </w:t>
      </w:r>
      <w:r w:rsidR="00063F3D" w:rsidRPr="005A12D8">
        <w:rPr>
          <w:rFonts w:asciiTheme="minorHAnsi" w:hAnsiTheme="minorHAnsi" w:cs="Arial"/>
          <w:b/>
          <w:color w:val="0070C0"/>
          <w:sz w:val="36"/>
          <w:szCs w:val="36"/>
        </w:rPr>
        <w:t>A</w:t>
      </w:r>
      <w:r w:rsidRPr="005A12D8">
        <w:rPr>
          <w:rFonts w:asciiTheme="minorHAnsi" w:hAnsiTheme="minorHAnsi" w:cs="Arial"/>
          <w:b/>
          <w:color w:val="0070C0"/>
          <w:sz w:val="36"/>
          <w:szCs w:val="36"/>
        </w:rPr>
        <w:t xml:space="preserve">rrears </w:t>
      </w:r>
      <w:r w:rsidR="00063F3D" w:rsidRPr="005A12D8">
        <w:rPr>
          <w:rFonts w:asciiTheme="minorHAnsi" w:hAnsiTheme="minorHAnsi" w:cs="Arial"/>
          <w:b/>
          <w:color w:val="0070C0"/>
          <w:sz w:val="36"/>
          <w:szCs w:val="36"/>
        </w:rPr>
        <w:t>P</w:t>
      </w:r>
      <w:r w:rsidR="00556806" w:rsidRPr="005A12D8">
        <w:rPr>
          <w:rFonts w:asciiTheme="minorHAnsi" w:hAnsiTheme="minorHAnsi" w:cs="Arial"/>
          <w:b/>
          <w:color w:val="0070C0"/>
          <w:sz w:val="36"/>
          <w:szCs w:val="36"/>
        </w:rPr>
        <w:t xml:space="preserve">olicy </w:t>
      </w:r>
    </w:p>
    <w:p w14:paraId="3A468FB5" w14:textId="14A78FAA" w:rsidR="00A577ED" w:rsidRDefault="00A577ED" w:rsidP="00063F3D">
      <w:pPr>
        <w:jc w:val="center"/>
        <w:rPr>
          <w:rStyle w:val="Hyperlink"/>
          <w:rFonts w:asciiTheme="minorHAnsi" w:hAnsiTheme="minorHAnsi" w:cstheme="minorHAnsi"/>
          <w:sz w:val="32"/>
          <w:szCs w:val="32"/>
        </w:rPr>
      </w:pPr>
      <w:r w:rsidRPr="004F6C0B">
        <w:rPr>
          <w:rStyle w:val="A12"/>
          <w:rFonts w:asciiTheme="minorHAnsi" w:hAnsiTheme="minorHAnsi" w:cstheme="minorHAnsi"/>
          <w:sz w:val="32"/>
          <w:szCs w:val="32"/>
        </w:rPr>
        <w:t xml:space="preserve">If you need any information in a different format, for example large print, Braille, audio file or another language, please email </w:t>
      </w:r>
      <w:hyperlink r:id="rId13" w:history="1">
        <w:r w:rsidRPr="004F6C0B">
          <w:rPr>
            <w:rStyle w:val="Hyperlink"/>
            <w:rFonts w:asciiTheme="minorHAnsi" w:hAnsiTheme="minorHAnsi" w:cstheme="minorHAnsi"/>
            <w:sz w:val="32"/>
            <w:szCs w:val="32"/>
          </w:rPr>
          <w:t>Communications@housing21.org.uk</w:t>
        </w:r>
      </w:hyperlink>
    </w:p>
    <w:tbl>
      <w:tblPr>
        <w:tblStyle w:val="TableGrid"/>
        <w:tblW w:w="9356" w:type="dxa"/>
        <w:tblInd w:w="-147" w:type="dxa"/>
        <w:tblLook w:val="04A0" w:firstRow="1" w:lastRow="0" w:firstColumn="1" w:lastColumn="0" w:noHBand="0" w:noVBand="1"/>
      </w:tblPr>
      <w:tblGrid>
        <w:gridCol w:w="4253"/>
        <w:gridCol w:w="5103"/>
      </w:tblGrid>
      <w:tr w:rsidR="004C1A9D" w:rsidRPr="00FC01F5" w14:paraId="49AC1A99" w14:textId="77777777" w:rsidTr="161C42D0">
        <w:tc>
          <w:tcPr>
            <w:tcW w:w="4253" w:type="dxa"/>
            <w:vAlign w:val="center"/>
          </w:tcPr>
          <w:p w14:paraId="6C60788A" w14:textId="0CFFB62D" w:rsidR="004C1A9D" w:rsidRPr="00FC01F5" w:rsidRDefault="004C1A9D" w:rsidP="0093067C">
            <w:pPr>
              <w:rPr>
                <w:b/>
                <w:bCs/>
                <w:sz w:val="24"/>
                <w:szCs w:val="24"/>
              </w:rPr>
            </w:pPr>
            <w:r w:rsidRPr="00FC01F5">
              <w:rPr>
                <w:b/>
                <w:bCs/>
                <w:sz w:val="24"/>
                <w:szCs w:val="24"/>
              </w:rPr>
              <w:t>Version</w:t>
            </w:r>
            <w:r w:rsidR="00271C6C" w:rsidRPr="00FC01F5">
              <w:rPr>
                <w:b/>
                <w:bCs/>
                <w:sz w:val="24"/>
                <w:szCs w:val="24"/>
              </w:rPr>
              <w:t xml:space="preserve"> number</w:t>
            </w:r>
          </w:p>
        </w:tc>
        <w:tc>
          <w:tcPr>
            <w:tcW w:w="5103" w:type="dxa"/>
            <w:vAlign w:val="center"/>
          </w:tcPr>
          <w:p w14:paraId="4BFD261E" w14:textId="6DD4F19D" w:rsidR="004C1A9D" w:rsidRPr="00FC01F5" w:rsidRDefault="005A04DB" w:rsidP="0093067C">
            <w:pPr>
              <w:rPr>
                <w:sz w:val="24"/>
                <w:szCs w:val="24"/>
              </w:rPr>
            </w:pPr>
            <w:r>
              <w:rPr>
                <w:sz w:val="24"/>
                <w:szCs w:val="24"/>
              </w:rPr>
              <w:t>1</w:t>
            </w:r>
          </w:p>
        </w:tc>
      </w:tr>
      <w:tr w:rsidR="004C1A9D" w:rsidRPr="00FC01F5" w14:paraId="76567972" w14:textId="77777777" w:rsidTr="161C42D0">
        <w:tc>
          <w:tcPr>
            <w:tcW w:w="4253" w:type="dxa"/>
            <w:vAlign w:val="center"/>
          </w:tcPr>
          <w:p w14:paraId="0D8AEA3D" w14:textId="673339B2" w:rsidR="004C1A9D" w:rsidRPr="00FC01F5" w:rsidRDefault="004C1A9D" w:rsidP="0093067C">
            <w:pPr>
              <w:rPr>
                <w:b/>
                <w:bCs/>
                <w:sz w:val="24"/>
                <w:szCs w:val="24"/>
              </w:rPr>
            </w:pPr>
            <w:r w:rsidRPr="00FC01F5">
              <w:rPr>
                <w:b/>
                <w:bCs/>
                <w:sz w:val="24"/>
                <w:szCs w:val="24"/>
              </w:rPr>
              <w:t>Issue date</w:t>
            </w:r>
          </w:p>
        </w:tc>
        <w:tc>
          <w:tcPr>
            <w:tcW w:w="5103" w:type="dxa"/>
            <w:vAlign w:val="center"/>
          </w:tcPr>
          <w:p w14:paraId="2548D66A" w14:textId="7BD7C6B1" w:rsidR="004C1A9D" w:rsidRPr="00FC01F5" w:rsidRDefault="2175B9F1" w:rsidP="0093067C">
            <w:pPr>
              <w:rPr>
                <w:sz w:val="24"/>
                <w:szCs w:val="24"/>
              </w:rPr>
            </w:pPr>
            <w:r w:rsidRPr="40C69081">
              <w:rPr>
                <w:sz w:val="24"/>
                <w:szCs w:val="24"/>
              </w:rPr>
              <w:t>December</w:t>
            </w:r>
            <w:r w:rsidR="00556806" w:rsidRPr="40C69081">
              <w:rPr>
                <w:sz w:val="24"/>
                <w:szCs w:val="24"/>
              </w:rPr>
              <w:t xml:space="preserve"> 2024</w:t>
            </w:r>
          </w:p>
        </w:tc>
      </w:tr>
      <w:tr w:rsidR="004C1A9D" w:rsidRPr="00FC01F5" w14:paraId="08780716" w14:textId="77777777" w:rsidTr="161C42D0">
        <w:tc>
          <w:tcPr>
            <w:tcW w:w="4253" w:type="dxa"/>
            <w:vAlign w:val="center"/>
          </w:tcPr>
          <w:p w14:paraId="2531EAE1" w14:textId="5BDAEAD0" w:rsidR="004C1A9D" w:rsidRPr="00FC01F5" w:rsidRDefault="004C1A9D" w:rsidP="0093067C">
            <w:pPr>
              <w:rPr>
                <w:b/>
                <w:bCs/>
                <w:sz w:val="24"/>
                <w:szCs w:val="24"/>
              </w:rPr>
            </w:pPr>
            <w:r w:rsidRPr="00FC01F5">
              <w:rPr>
                <w:b/>
                <w:bCs/>
                <w:sz w:val="24"/>
                <w:szCs w:val="24"/>
              </w:rPr>
              <w:t>Review date</w:t>
            </w:r>
          </w:p>
        </w:tc>
        <w:tc>
          <w:tcPr>
            <w:tcW w:w="5103" w:type="dxa"/>
            <w:vAlign w:val="center"/>
          </w:tcPr>
          <w:p w14:paraId="070C9335" w14:textId="56A3218A" w:rsidR="004C1A9D" w:rsidRPr="00FC01F5" w:rsidRDefault="34BC047C" w:rsidP="0093067C">
            <w:pPr>
              <w:rPr>
                <w:sz w:val="24"/>
                <w:szCs w:val="24"/>
              </w:rPr>
            </w:pPr>
            <w:r w:rsidRPr="40C69081">
              <w:rPr>
                <w:sz w:val="24"/>
                <w:szCs w:val="24"/>
              </w:rPr>
              <w:t>Decembe</w:t>
            </w:r>
            <w:r w:rsidR="00A86C4A" w:rsidRPr="40C69081">
              <w:rPr>
                <w:sz w:val="24"/>
                <w:szCs w:val="24"/>
              </w:rPr>
              <w:t xml:space="preserve">r </w:t>
            </w:r>
            <w:r w:rsidR="00E66352" w:rsidRPr="40C69081">
              <w:rPr>
                <w:sz w:val="24"/>
                <w:szCs w:val="24"/>
              </w:rPr>
              <w:t>202</w:t>
            </w:r>
            <w:r w:rsidR="00B15690" w:rsidRPr="40C69081">
              <w:rPr>
                <w:sz w:val="24"/>
                <w:szCs w:val="24"/>
              </w:rPr>
              <w:t>7</w:t>
            </w:r>
          </w:p>
        </w:tc>
      </w:tr>
      <w:tr w:rsidR="004C1A9D" w:rsidRPr="00FC01F5" w14:paraId="596D6646" w14:textId="77777777" w:rsidTr="161C42D0">
        <w:tc>
          <w:tcPr>
            <w:tcW w:w="4253" w:type="dxa"/>
            <w:vAlign w:val="center"/>
          </w:tcPr>
          <w:p w14:paraId="26E78288" w14:textId="493A17A9" w:rsidR="004C1A9D" w:rsidRPr="00FC01F5" w:rsidRDefault="004C1A9D" w:rsidP="0093067C">
            <w:pPr>
              <w:rPr>
                <w:b/>
                <w:bCs/>
                <w:sz w:val="24"/>
                <w:szCs w:val="24"/>
              </w:rPr>
            </w:pPr>
            <w:r w:rsidRPr="00FC01F5">
              <w:rPr>
                <w:b/>
                <w:bCs/>
                <w:sz w:val="24"/>
                <w:szCs w:val="24"/>
              </w:rPr>
              <w:t>Board approval required?</w:t>
            </w:r>
          </w:p>
        </w:tc>
        <w:tc>
          <w:tcPr>
            <w:tcW w:w="5103" w:type="dxa"/>
            <w:vAlign w:val="center"/>
          </w:tcPr>
          <w:p w14:paraId="1A8773AD" w14:textId="4D5BB06D" w:rsidR="004C1A9D" w:rsidRPr="00FC01F5" w:rsidRDefault="00E66352" w:rsidP="0093067C">
            <w:pPr>
              <w:rPr>
                <w:sz w:val="24"/>
                <w:szCs w:val="24"/>
              </w:rPr>
            </w:pPr>
            <w:r>
              <w:rPr>
                <w:sz w:val="24"/>
                <w:szCs w:val="24"/>
              </w:rPr>
              <w:t xml:space="preserve">No </w:t>
            </w:r>
          </w:p>
        </w:tc>
      </w:tr>
      <w:tr w:rsidR="004C1A9D" w:rsidRPr="00FC01F5" w14:paraId="1D4CD84E" w14:textId="77777777" w:rsidTr="161C42D0">
        <w:tc>
          <w:tcPr>
            <w:tcW w:w="4253" w:type="dxa"/>
            <w:vAlign w:val="center"/>
          </w:tcPr>
          <w:p w14:paraId="69918A2B" w14:textId="5DBB1F9D" w:rsidR="004C1A9D" w:rsidRPr="00FC01F5" w:rsidRDefault="004C1A9D" w:rsidP="0093067C">
            <w:pPr>
              <w:rPr>
                <w:b/>
                <w:bCs/>
                <w:sz w:val="24"/>
                <w:szCs w:val="24"/>
              </w:rPr>
            </w:pPr>
            <w:r w:rsidRPr="00FC01F5">
              <w:rPr>
                <w:b/>
                <w:bCs/>
                <w:sz w:val="24"/>
                <w:szCs w:val="24"/>
              </w:rPr>
              <w:t xml:space="preserve">If yes, </w:t>
            </w:r>
            <w:r w:rsidR="00C75FF6" w:rsidRPr="00FC01F5">
              <w:rPr>
                <w:b/>
                <w:bCs/>
                <w:sz w:val="24"/>
                <w:szCs w:val="24"/>
              </w:rPr>
              <w:t>date approved by Board</w:t>
            </w:r>
          </w:p>
        </w:tc>
        <w:tc>
          <w:tcPr>
            <w:tcW w:w="5103" w:type="dxa"/>
            <w:vAlign w:val="center"/>
          </w:tcPr>
          <w:p w14:paraId="0F6E80B8" w14:textId="77777777" w:rsidR="004C1A9D" w:rsidRPr="00FC01F5" w:rsidRDefault="004C1A9D" w:rsidP="0093067C">
            <w:pPr>
              <w:rPr>
                <w:sz w:val="24"/>
                <w:szCs w:val="24"/>
              </w:rPr>
            </w:pPr>
          </w:p>
        </w:tc>
      </w:tr>
      <w:tr w:rsidR="00C75FF6" w:rsidRPr="00FC01F5" w14:paraId="715A55BA" w14:textId="77777777" w:rsidTr="161C42D0">
        <w:tc>
          <w:tcPr>
            <w:tcW w:w="4253" w:type="dxa"/>
            <w:vAlign w:val="center"/>
          </w:tcPr>
          <w:p w14:paraId="1FF8DFDA" w14:textId="745DBDA6" w:rsidR="00C75FF6" w:rsidRPr="00FC01F5" w:rsidRDefault="00C75FF6" w:rsidP="0093067C">
            <w:pPr>
              <w:rPr>
                <w:b/>
                <w:bCs/>
                <w:sz w:val="24"/>
                <w:szCs w:val="24"/>
              </w:rPr>
            </w:pPr>
            <w:r w:rsidRPr="00FC01F5">
              <w:rPr>
                <w:rFonts w:asciiTheme="minorHAnsi" w:hAnsiTheme="minorHAnsi" w:cstheme="minorHAnsi"/>
                <w:b/>
                <w:bCs/>
                <w:sz w:val="24"/>
                <w:szCs w:val="24"/>
              </w:rPr>
              <w:t>Author’s name and job title</w:t>
            </w:r>
          </w:p>
        </w:tc>
        <w:tc>
          <w:tcPr>
            <w:tcW w:w="5103" w:type="dxa"/>
            <w:vAlign w:val="center"/>
          </w:tcPr>
          <w:p w14:paraId="29B073E1" w14:textId="204213C6" w:rsidR="00C75FF6" w:rsidRPr="00FC01F5" w:rsidRDefault="00063F3D" w:rsidP="0093067C">
            <w:pPr>
              <w:rPr>
                <w:sz w:val="24"/>
                <w:szCs w:val="24"/>
              </w:rPr>
            </w:pPr>
            <w:r w:rsidRPr="00FC01F5">
              <w:rPr>
                <w:sz w:val="24"/>
                <w:szCs w:val="24"/>
              </w:rPr>
              <w:t>Zoey Stanton, Regional Operations Manager</w:t>
            </w:r>
            <w:r w:rsidR="000317E1">
              <w:rPr>
                <w:sz w:val="24"/>
                <w:szCs w:val="24"/>
              </w:rPr>
              <w:t xml:space="preserve">, Christine Evans </w:t>
            </w:r>
            <w:r w:rsidR="00D82B9C" w:rsidRPr="00D82B9C">
              <w:rPr>
                <w:sz w:val="24"/>
                <w:szCs w:val="24"/>
              </w:rPr>
              <w:t>Income Administration Manager</w:t>
            </w:r>
            <w:r w:rsidR="005F29C7">
              <w:rPr>
                <w:sz w:val="24"/>
                <w:szCs w:val="24"/>
              </w:rPr>
              <w:t>, Dawn Aston-Adams Head of Strategic Projects</w:t>
            </w:r>
          </w:p>
        </w:tc>
      </w:tr>
      <w:tr w:rsidR="00C75FF6" w:rsidRPr="00FC01F5" w14:paraId="71A1856E" w14:textId="77777777" w:rsidTr="161C42D0">
        <w:tc>
          <w:tcPr>
            <w:tcW w:w="4253" w:type="dxa"/>
            <w:vAlign w:val="center"/>
          </w:tcPr>
          <w:p w14:paraId="7B28BE02" w14:textId="368B0853" w:rsidR="00C75FF6" w:rsidRPr="00FC01F5" w:rsidRDefault="00C75FF6" w:rsidP="0093067C">
            <w:pPr>
              <w:rPr>
                <w:rFonts w:asciiTheme="minorHAnsi" w:hAnsiTheme="minorHAnsi" w:cstheme="minorHAnsi"/>
                <w:b/>
                <w:bCs/>
                <w:sz w:val="24"/>
                <w:szCs w:val="24"/>
              </w:rPr>
            </w:pPr>
            <w:r w:rsidRPr="00FC01F5">
              <w:rPr>
                <w:rFonts w:asciiTheme="minorHAnsi" w:hAnsiTheme="minorHAnsi" w:cstheme="minorHAnsi"/>
                <w:b/>
                <w:bCs/>
                <w:sz w:val="24"/>
                <w:szCs w:val="24"/>
              </w:rPr>
              <w:t>Policy owner and job title</w:t>
            </w:r>
          </w:p>
        </w:tc>
        <w:tc>
          <w:tcPr>
            <w:tcW w:w="5103" w:type="dxa"/>
            <w:vAlign w:val="center"/>
          </w:tcPr>
          <w:p w14:paraId="650E5360" w14:textId="014CD43F" w:rsidR="00C75FF6" w:rsidRPr="00FC01F5" w:rsidRDefault="00EC6335" w:rsidP="00577F83">
            <w:pPr>
              <w:rPr>
                <w:sz w:val="24"/>
                <w:szCs w:val="24"/>
              </w:rPr>
            </w:pPr>
            <w:r>
              <w:rPr>
                <w:sz w:val="24"/>
                <w:szCs w:val="24"/>
              </w:rPr>
              <w:t>P</w:t>
            </w:r>
            <w:r w:rsidR="697792F9" w:rsidRPr="161C42D0">
              <w:rPr>
                <w:sz w:val="24"/>
                <w:szCs w:val="24"/>
              </w:rPr>
              <w:t>am Mastrantonio, Man</w:t>
            </w:r>
            <w:r w:rsidR="35DC3FC6" w:rsidRPr="161C42D0">
              <w:rPr>
                <w:sz w:val="24"/>
                <w:szCs w:val="24"/>
              </w:rPr>
              <w:t>a</w:t>
            </w:r>
            <w:r w:rsidR="697792F9" w:rsidRPr="161C42D0">
              <w:rPr>
                <w:sz w:val="24"/>
                <w:szCs w:val="24"/>
              </w:rPr>
              <w:t xml:space="preserve">ging </w:t>
            </w:r>
            <w:r w:rsidR="35DC3FC6" w:rsidRPr="161C42D0">
              <w:rPr>
                <w:sz w:val="24"/>
                <w:szCs w:val="24"/>
              </w:rPr>
              <w:t>Director of Retirement Living.</w:t>
            </w:r>
          </w:p>
        </w:tc>
      </w:tr>
      <w:tr w:rsidR="00EA6E8A" w:rsidRPr="00FC01F5" w14:paraId="166FB3CC" w14:textId="77777777" w:rsidTr="161C42D0">
        <w:tc>
          <w:tcPr>
            <w:tcW w:w="4253" w:type="dxa"/>
            <w:vAlign w:val="center"/>
          </w:tcPr>
          <w:p w14:paraId="0DE937A2" w14:textId="4F279155" w:rsidR="00EA6E8A" w:rsidRPr="00FC01F5" w:rsidRDefault="00EA6E8A" w:rsidP="0093067C">
            <w:pPr>
              <w:rPr>
                <w:rFonts w:asciiTheme="minorHAnsi" w:hAnsiTheme="minorHAnsi" w:cstheme="minorHAnsi"/>
                <w:b/>
                <w:bCs/>
                <w:sz w:val="24"/>
                <w:szCs w:val="24"/>
              </w:rPr>
            </w:pPr>
            <w:r w:rsidRPr="00FC01F5">
              <w:rPr>
                <w:rFonts w:asciiTheme="minorHAnsi" w:hAnsiTheme="minorHAnsi" w:cstheme="minorHAnsi"/>
                <w:b/>
                <w:bCs/>
                <w:sz w:val="24"/>
                <w:szCs w:val="24"/>
              </w:rPr>
              <w:t xml:space="preserve">Policy </w:t>
            </w:r>
            <w:r w:rsidR="00323FBD" w:rsidRPr="00FC01F5">
              <w:rPr>
                <w:rFonts w:asciiTheme="minorHAnsi" w:hAnsiTheme="minorHAnsi" w:cstheme="minorHAnsi"/>
                <w:b/>
                <w:bCs/>
                <w:sz w:val="24"/>
                <w:szCs w:val="24"/>
              </w:rPr>
              <w:t xml:space="preserve">Steering </w:t>
            </w:r>
            <w:r w:rsidRPr="00FC01F5">
              <w:rPr>
                <w:rFonts w:asciiTheme="minorHAnsi" w:hAnsiTheme="minorHAnsi" w:cstheme="minorHAnsi"/>
                <w:b/>
                <w:bCs/>
                <w:sz w:val="24"/>
                <w:szCs w:val="24"/>
              </w:rPr>
              <w:t>Group approval date</w:t>
            </w:r>
          </w:p>
        </w:tc>
        <w:tc>
          <w:tcPr>
            <w:tcW w:w="5103" w:type="dxa"/>
            <w:vAlign w:val="center"/>
          </w:tcPr>
          <w:p w14:paraId="4707EF2F" w14:textId="255A2FD0" w:rsidR="00EA6E8A" w:rsidRPr="00FC01F5" w:rsidRDefault="2255D792" w:rsidP="0093067C">
            <w:pPr>
              <w:rPr>
                <w:sz w:val="24"/>
                <w:szCs w:val="24"/>
              </w:rPr>
            </w:pPr>
            <w:r w:rsidRPr="40C69081">
              <w:rPr>
                <w:sz w:val="24"/>
                <w:szCs w:val="24"/>
              </w:rPr>
              <w:t>December 2024</w:t>
            </w:r>
          </w:p>
        </w:tc>
      </w:tr>
    </w:tbl>
    <w:p w14:paraId="1F4CA5BA" w14:textId="058E179B" w:rsidR="00A577ED" w:rsidRPr="00661C6A" w:rsidRDefault="00A577ED" w:rsidP="0071623E">
      <w:pPr>
        <w:pStyle w:val="Heading1"/>
        <w:rPr>
          <w:rFonts w:eastAsia="Calibri"/>
        </w:rPr>
      </w:pPr>
      <w:bookmarkStart w:id="0" w:name="_Hlk166755853"/>
      <w:bookmarkStart w:id="1" w:name="_Toc184985237"/>
      <w:r w:rsidRPr="0071623E">
        <w:t>Summary</w:t>
      </w:r>
      <w:bookmarkEnd w:id="1"/>
    </w:p>
    <w:bookmarkEnd w:id="0"/>
    <w:p w14:paraId="5D7ADF1F" w14:textId="0D87E633" w:rsidR="00A14EB2" w:rsidRPr="00FC01F5" w:rsidRDefault="00A14EB2" w:rsidP="00AD1DF3">
      <w:pPr>
        <w:spacing w:after="4" w:line="251" w:lineRule="auto"/>
        <w:rPr>
          <w:rFonts w:cs="Calibri"/>
          <w:color w:val="000000"/>
          <w:kern w:val="2"/>
          <w:sz w:val="24"/>
          <w:szCs w:val="24"/>
          <w:lang w:eastAsia="en-GB"/>
          <w14:ligatures w14:val="standardContextual"/>
        </w:rPr>
      </w:pPr>
      <w:r w:rsidRPr="00FC01F5">
        <w:rPr>
          <w:rFonts w:cs="Calibri"/>
          <w:color w:val="000000"/>
          <w:kern w:val="2"/>
          <w:sz w:val="24"/>
          <w:szCs w:val="24"/>
          <w:lang w:eastAsia="en-GB"/>
          <w14:ligatures w14:val="standardContextual"/>
        </w:rPr>
        <w:t>This policy sets out the approach to be adopted by all Housing 21 employees in relation to the management of arrears of rent</w:t>
      </w:r>
      <w:r w:rsidR="003610B3">
        <w:rPr>
          <w:rFonts w:cs="Calibri"/>
          <w:color w:val="000000"/>
          <w:kern w:val="2"/>
          <w:sz w:val="24"/>
          <w:szCs w:val="24"/>
          <w:lang w:eastAsia="en-GB"/>
          <w14:ligatures w14:val="standardContextual"/>
        </w:rPr>
        <w:t xml:space="preserve">, </w:t>
      </w:r>
      <w:r w:rsidRPr="00FC01F5">
        <w:rPr>
          <w:rFonts w:cs="Calibri"/>
          <w:color w:val="000000"/>
          <w:kern w:val="2"/>
          <w:sz w:val="24"/>
          <w:szCs w:val="24"/>
          <w:lang w:eastAsia="en-GB"/>
          <w14:ligatures w14:val="standardContextual"/>
        </w:rPr>
        <w:t xml:space="preserve">service charges </w:t>
      </w:r>
      <w:r w:rsidR="003610B3">
        <w:rPr>
          <w:rFonts w:cs="Calibri"/>
          <w:color w:val="000000"/>
          <w:kern w:val="2"/>
          <w:sz w:val="24"/>
          <w:szCs w:val="24"/>
          <w:lang w:eastAsia="en-GB"/>
          <w14:ligatures w14:val="standardContextual"/>
        </w:rPr>
        <w:t xml:space="preserve">and court </w:t>
      </w:r>
      <w:r w:rsidR="006F57B6">
        <w:rPr>
          <w:rFonts w:cs="Calibri"/>
          <w:color w:val="000000"/>
          <w:kern w:val="2"/>
          <w:sz w:val="24"/>
          <w:szCs w:val="24"/>
          <w:lang w:eastAsia="en-GB"/>
          <w14:ligatures w14:val="standardContextual"/>
        </w:rPr>
        <w:t xml:space="preserve">cost </w:t>
      </w:r>
      <w:r w:rsidRPr="00FC01F5">
        <w:rPr>
          <w:rFonts w:cs="Calibri"/>
          <w:color w:val="000000"/>
          <w:kern w:val="2"/>
          <w:sz w:val="24"/>
          <w:szCs w:val="24"/>
          <w:lang w:eastAsia="en-GB"/>
          <w14:ligatures w14:val="standardContextual"/>
        </w:rPr>
        <w:t xml:space="preserve">for all </w:t>
      </w:r>
      <w:r w:rsidR="005F29C7">
        <w:rPr>
          <w:rFonts w:cs="Calibri"/>
          <w:color w:val="000000"/>
          <w:kern w:val="2"/>
          <w:sz w:val="24"/>
          <w:szCs w:val="24"/>
          <w:lang w:eastAsia="en-GB"/>
          <w14:ligatures w14:val="standardContextual"/>
        </w:rPr>
        <w:t xml:space="preserve">current and former </w:t>
      </w:r>
      <w:r w:rsidRPr="00FC01F5">
        <w:rPr>
          <w:rFonts w:cs="Calibri"/>
          <w:color w:val="000000"/>
          <w:kern w:val="2"/>
          <w:sz w:val="24"/>
          <w:szCs w:val="24"/>
          <w:lang w:eastAsia="en-GB"/>
          <w14:ligatures w14:val="standardContextual"/>
        </w:rPr>
        <w:t xml:space="preserve">rented </w:t>
      </w:r>
      <w:r w:rsidR="00C20BDC" w:rsidRPr="00FC01F5">
        <w:rPr>
          <w:rFonts w:cs="Calibri"/>
          <w:color w:val="000000"/>
          <w:kern w:val="2"/>
          <w:sz w:val="24"/>
          <w:szCs w:val="24"/>
          <w:lang w:eastAsia="en-GB"/>
          <w14:ligatures w14:val="standardContextual"/>
        </w:rPr>
        <w:t xml:space="preserve">and shared ownership </w:t>
      </w:r>
      <w:r w:rsidRPr="00FC01F5">
        <w:rPr>
          <w:rFonts w:cs="Calibri"/>
          <w:color w:val="000000"/>
          <w:kern w:val="2"/>
          <w:sz w:val="24"/>
          <w:szCs w:val="24"/>
          <w:lang w:eastAsia="en-GB"/>
          <w14:ligatures w14:val="standardContextual"/>
        </w:rPr>
        <w:t xml:space="preserve">properties. </w:t>
      </w:r>
    </w:p>
    <w:p w14:paraId="75314F67" w14:textId="77777777" w:rsidR="001346F6" w:rsidRPr="00FC01F5" w:rsidRDefault="001346F6" w:rsidP="00AD1DF3">
      <w:pPr>
        <w:spacing w:after="4" w:line="251" w:lineRule="auto"/>
        <w:rPr>
          <w:rFonts w:cs="Calibri"/>
          <w:color w:val="000000"/>
          <w:kern w:val="2"/>
          <w:sz w:val="24"/>
          <w:szCs w:val="24"/>
          <w:lang w:eastAsia="en-GB"/>
          <w14:ligatures w14:val="standardContextual"/>
        </w:rPr>
      </w:pPr>
    </w:p>
    <w:p w14:paraId="06849BF7" w14:textId="3196DA17" w:rsidR="001346F6" w:rsidRPr="00FC01F5" w:rsidRDefault="001346F6" w:rsidP="00AD1DF3">
      <w:pPr>
        <w:spacing w:after="4" w:line="251" w:lineRule="auto"/>
        <w:rPr>
          <w:sz w:val="24"/>
          <w:szCs w:val="24"/>
        </w:rPr>
      </w:pPr>
      <w:r w:rsidRPr="161C42D0">
        <w:rPr>
          <w:sz w:val="24"/>
          <w:szCs w:val="24"/>
        </w:rPr>
        <w:t>We aim to minimise the amount of rent and service charge arrears</w:t>
      </w:r>
      <w:r w:rsidR="000A4D20" w:rsidRPr="161C42D0">
        <w:rPr>
          <w:sz w:val="24"/>
          <w:szCs w:val="24"/>
        </w:rPr>
        <w:t xml:space="preserve"> through a timely and proactive </w:t>
      </w:r>
      <w:r w:rsidR="00D23128" w:rsidRPr="161C42D0">
        <w:rPr>
          <w:sz w:val="24"/>
          <w:szCs w:val="24"/>
        </w:rPr>
        <w:t xml:space="preserve">process and a </w:t>
      </w:r>
      <w:r w:rsidR="7D9BB852" w:rsidRPr="161C42D0">
        <w:rPr>
          <w:sz w:val="24"/>
          <w:szCs w:val="24"/>
        </w:rPr>
        <w:t>‘</w:t>
      </w:r>
      <w:r w:rsidR="00D23128" w:rsidRPr="161C42D0">
        <w:rPr>
          <w:sz w:val="24"/>
          <w:szCs w:val="24"/>
        </w:rPr>
        <w:t>Collect with Care</w:t>
      </w:r>
      <w:r w:rsidR="612CFEFE" w:rsidRPr="161C42D0">
        <w:rPr>
          <w:sz w:val="24"/>
          <w:szCs w:val="24"/>
        </w:rPr>
        <w:t>’</w:t>
      </w:r>
      <w:r w:rsidR="00D23128" w:rsidRPr="161C42D0">
        <w:rPr>
          <w:sz w:val="24"/>
          <w:szCs w:val="24"/>
        </w:rPr>
        <w:t xml:space="preserve"> </w:t>
      </w:r>
      <w:r w:rsidR="000A4D20" w:rsidRPr="161C42D0">
        <w:rPr>
          <w:sz w:val="24"/>
          <w:szCs w:val="24"/>
        </w:rPr>
        <w:t>approach</w:t>
      </w:r>
      <w:r w:rsidRPr="161C42D0">
        <w:rPr>
          <w:sz w:val="24"/>
          <w:szCs w:val="24"/>
        </w:rPr>
        <w:t>. We will apply this policy consistently and fairly and will always ensure that we act in a reasonable manner, and that our actions represent a necessary and proportionate response.</w:t>
      </w:r>
    </w:p>
    <w:p w14:paraId="3FC7E214" w14:textId="77777777" w:rsidR="001346F6" w:rsidRPr="00FC01F5" w:rsidRDefault="001346F6" w:rsidP="00AD1DF3">
      <w:pPr>
        <w:spacing w:after="4" w:line="251" w:lineRule="auto"/>
        <w:rPr>
          <w:sz w:val="24"/>
          <w:szCs w:val="24"/>
        </w:rPr>
      </w:pPr>
    </w:p>
    <w:p w14:paraId="0AF72109" w14:textId="03397A9A" w:rsidR="001346F6" w:rsidRPr="00FC01F5" w:rsidRDefault="001346F6" w:rsidP="00AD1DF3">
      <w:pPr>
        <w:spacing w:after="4" w:line="251" w:lineRule="auto"/>
        <w:rPr>
          <w:sz w:val="24"/>
          <w:szCs w:val="24"/>
        </w:rPr>
      </w:pPr>
      <w:r w:rsidRPr="161C42D0">
        <w:rPr>
          <w:sz w:val="24"/>
          <w:szCs w:val="24"/>
        </w:rPr>
        <w:t>We will ensure that our approach represents current good practice and meets all lega</w:t>
      </w:r>
      <w:r w:rsidR="00025082" w:rsidRPr="161C42D0">
        <w:rPr>
          <w:sz w:val="24"/>
          <w:szCs w:val="24"/>
        </w:rPr>
        <w:t>l</w:t>
      </w:r>
      <w:r w:rsidRPr="161C42D0">
        <w:rPr>
          <w:sz w:val="24"/>
          <w:szCs w:val="24"/>
        </w:rPr>
        <w:t xml:space="preserve"> and regulatory requirements. We will monitor our performance to ensure that this continues to be the case.</w:t>
      </w:r>
    </w:p>
    <w:sdt>
      <w:sdtPr>
        <w:rPr>
          <w:rFonts w:ascii="Calibri" w:eastAsia="Calibri" w:hAnsi="Calibri" w:cs="Times New Roman"/>
          <w:color w:val="auto"/>
          <w:sz w:val="22"/>
          <w:szCs w:val="22"/>
          <w:lang w:val="en-GB"/>
        </w:rPr>
        <w:id w:val="866879557"/>
        <w:docPartObj>
          <w:docPartGallery w:val="Table of Contents"/>
          <w:docPartUnique/>
        </w:docPartObj>
      </w:sdtPr>
      <w:sdtEndPr>
        <w:rPr>
          <w:b/>
          <w:bCs/>
          <w:noProof/>
        </w:rPr>
      </w:sdtEndPr>
      <w:sdtContent>
        <w:p w14:paraId="6302F6A3" w14:textId="48770A61" w:rsidR="00BC035B" w:rsidRDefault="00BC035B">
          <w:pPr>
            <w:pStyle w:val="TOCHeading"/>
          </w:pPr>
          <w:r>
            <w:t>Table of Contents</w:t>
          </w:r>
        </w:p>
        <w:p w14:paraId="2BC73853" w14:textId="5F82582D" w:rsidR="00000891" w:rsidRDefault="00BC035B">
          <w:pPr>
            <w:pStyle w:val="TOC1"/>
            <w:tabs>
              <w:tab w:val="right" w:leader="dot" w:pos="9016"/>
            </w:tabs>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84985237" w:history="1">
            <w:r w:rsidR="00000891" w:rsidRPr="009261D2">
              <w:rPr>
                <w:rStyle w:val="Hyperlink"/>
                <w:noProof/>
              </w:rPr>
              <w:t>Summary</w:t>
            </w:r>
            <w:r w:rsidR="00000891">
              <w:rPr>
                <w:noProof/>
                <w:webHidden/>
              </w:rPr>
              <w:tab/>
            </w:r>
            <w:r w:rsidR="00000891">
              <w:rPr>
                <w:noProof/>
                <w:webHidden/>
              </w:rPr>
              <w:fldChar w:fldCharType="begin"/>
            </w:r>
            <w:r w:rsidR="00000891">
              <w:rPr>
                <w:noProof/>
                <w:webHidden/>
              </w:rPr>
              <w:instrText xml:space="preserve"> PAGEREF _Toc184985237 \h </w:instrText>
            </w:r>
            <w:r w:rsidR="00000891">
              <w:rPr>
                <w:noProof/>
                <w:webHidden/>
              </w:rPr>
            </w:r>
            <w:r w:rsidR="00000891">
              <w:rPr>
                <w:noProof/>
                <w:webHidden/>
              </w:rPr>
              <w:fldChar w:fldCharType="separate"/>
            </w:r>
            <w:r w:rsidR="00000891">
              <w:rPr>
                <w:noProof/>
                <w:webHidden/>
              </w:rPr>
              <w:t>1</w:t>
            </w:r>
            <w:r w:rsidR="00000891">
              <w:rPr>
                <w:noProof/>
                <w:webHidden/>
              </w:rPr>
              <w:fldChar w:fldCharType="end"/>
            </w:r>
          </w:hyperlink>
        </w:p>
        <w:p w14:paraId="14C88320" w14:textId="4D49C2D1" w:rsidR="00000891" w:rsidRDefault="006158F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985238" w:history="1">
            <w:r w:rsidR="00000891" w:rsidRPr="009261D2">
              <w:rPr>
                <w:rStyle w:val="Hyperlink"/>
                <w:noProof/>
              </w:rPr>
              <w:t>Legislation</w:t>
            </w:r>
            <w:r w:rsidR="00000891" w:rsidRPr="009261D2">
              <w:rPr>
                <w:rStyle w:val="Hyperlink"/>
                <w:noProof/>
                <w:lang w:eastAsia="en-GB"/>
              </w:rPr>
              <w:t xml:space="preserve"> and Regulatory Guidance</w:t>
            </w:r>
            <w:r w:rsidR="00000891">
              <w:rPr>
                <w:noProof/>
                <w:webHidden/>
              </w:rPr>
              <w:tab/>
            </w:r>
            <w:r w:rsidR="00000891">
              <w:rPr>
                <w:noProof/>
                <w:webHidden/>
              </w:rPr>
              <w:fldChar w:fldCharType="begin"/>
            </w:r>
            <w:r w:rsidR="00000891">
              <w:rPr>
                <w:noProof/>
                <w:webHidden/>
              </w:rPr>
              <w:instrText xml:space="preserve"> PAGEREF _Toc184985238 \h </w:instrText>
            </w:r>
            <w:r w:rsidR="00000891">
              <w:rPr>
                <w:noProof/>
                <w:webHidden/>
              </w:rPr>
            </w:r>
            <w:r w:rsidR="00000891">
              <w:rPr>
                <w:noProof/>
                <w:webHidden/>
              </w:rPr>
              <w:fldChar w:fldCharType="separate"/>
            </w:r>
            <w:r w:rsidR="00000891">
              <w:rPr>
                <w:noProof/>
                <w:webHidden/>
              </w:rPr>
              <w:t>3</w:t>
            </w:r>
            <w:r w:rsidR="00000891">
              <w:rPr>
                <w:noProof/>
                <w:webHidden/>
              </w:rPr>
              <w:fldChar w:fldCharType="end"/>
            </w:r>
          </w:hyperlink>
        </w:p>
        <w:p w14:paraId="6B5B143A" w14:textId="1FA353F9" w:rsidR="00000891" w:rsidRDefault="006158F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985239" w:history="1">
            <w:r w:rsidR="00000891" w:rsidRPr="009261D2">
              <w:rPr>
                <w:rStyle w:val="Hyperlink"/>
                <w:noProof/>
              </w:rPr>
              <w:t>Equality, Diversity and Inclusion</w:t>
            </w:r>
            <w:r w:rsidR="00000891">
              <w:rPr>
                <w:noProof/>
                <w:webHidden/>
              </w:rPr>
              <w:tab/>
            </w:r>
            <w:r w:rsidR="00000891">
              <w:rPr>
                <w:noProof/>
                <w:webHidden/>
              </w:rPr>
              <w:fldChar w:fldCharType="begin"/>
            </w:r>
            <w:r w:rsidR="00000891">
              <w:rPr>
                <w:noProof/>
                <w:webHidden/>
              </w:rPr>
              <w:instrText xml:space="preserve"> PAGEREF _Toc184985239 \h </w:instrText>
            </w:r>
            <w:r w:rsidR="00000891">
              <w:rPr>
                <w:noProof/>
                <w:webHidden/>
              </w:rPr>
            </w:r>
            <w:r w:rsidR="00000891">
              <w:rPr>
                <w:noProof/>
                <w:webHidden/>
              </w:rPr>
              <w:fldChar w:fldCharType="separate"/>
            </w:r>
            <w:r w:rsidR="00000891">
              <w:rPr>
                <w:noProof/>
                <w:webHidden/>
              </w:rPr>
              <w:t>3</w:t>
            </w:r>
            <w:r w:rsidR="00000891">
              <w:rPr>
                <w:noProof/>
                <w:webHidden/>
              </w:rPr>
              <w:fldChar w:fldCharType="end"/>
            </w:r>
          </w:hyperlink>
        </w:p>
        <w:p w14:paraId="2023D85A" w14:textId="399C3580" w:rsidR="00000891" w:rsidRDefault="006158F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985240" w:history="1">
            <w:r w:rsidR="00000891" w:rsidRPr="009261D2">
              <w:rPr>
                <w:rStyle w:val="Hyperlink"/>
                <w:noProof/>
              </w:rPr>
              <w:t>Key Principles</w:t>
            </w:r>
            <w:r w:rsidR="00000891">
              <w:rPr>
                <w:noProof/>
                <w:webHidden/>
              </w:rPr>
              <w:tab/>
            </w:r>
            <w:r w:rsidR="00000891">
              <w:rPr>
                <w:noProof/>
                <w:webHidden/>
              </w:rPr>
              <w:fldChar w:fldCharType="begin"/>
            </w:r>
            <w:r w:rsidR="00000891">
              <w:rPr>
                <w:noProof/>
                <w:webHidden/>
              </w:rPr>
              <w:instrText xml:space="preserve"> PAGEREF _Toc184985240 \h </w:instrText>
            </w:r>
            <w:r w:rsidR="00000891">
              <w:rPr>
                <w:noProof/>
                <w:webHidden/>
              </w:rPr>
            </w:r>
            <w:r w:rsidR="00000891">
              <w:rPr>
                <w:noProof/>
                <w:webHidden/>
              </w:rPr>
              <w:fldChar w:fldCharType="separate"/>
            </w:r>
            <w:r w:rsidR="00000891">
              <w:rPr>
                <w:noProof/>
                <w:webHidden/>
              </w:rPr>
              <w:t>4</w:t>
            </w:r>
            <w:r w:rsidR="00000891">
              <w:rPr>
                <w:noProof/>
                <w:webHidden/>
              </w:rPr>
              <w:fldChar w:fldCharType="end"/>
            </w:r>
          </w:hyperlink>
        </w:p>
        <w:p w14:paraId="1A2FC219" w14:textId="2652F7FA" w:rsidR="00000891" w:rsidRDefault="006158F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985241" w:history="1">
            <w:r w:rsidR="00000891" w:rsidRPr="009261D2">
              <w:rPr>
                <w:rStyle w:val="Hyperlink"/>
                <w:noProof/>
              </w:rPr>
              <w:t>Management Guidance</w:t>
            </w:r>
            <w:r w:rsidR="00000891">
              <w:rPr>
                <w:noProof/>
                <w:webHidden/>
              </w:rPr>
              <w:tab/>
            </w:r>
            <w:r w:rsidR="00000891">
              <w:rPr>
                <w:noProof/>
                <w:webHidden/>
              </w:rPr>
              <w:fldChar w:fldCharType="begin"/>
            </w:r>
            <w:r w:rsidR="00000891">
              <w:rPr>
                <w:noProof/>
                <w:webHidden/>
              </w:rPr>
              <w:instrText xml:space="preserve"> PAGEREF _Toc184985241 \h </w:instrText>
            </w:r>
            <w:r w:rsidR="00000891">
              <w:rPr>
                <w:noProof/>
                <w:webHidden/>
              </w:rPr>
            </w:r>
            <w:r w:rsidR="00000891">
              <w:rPr>
                <w:noProof/>
                <w:webHidden/>
              </w:rPr>
              <w:fldChar w:fldCharType="separate"/>
            </w:r>
            <w:r w:rsidR="00000891">
              <w:rPr>
                <w:noProof/>
                <w:webHidden/>
              </w:rPr>
              <w:t>5</w:t>
            </w:r>
            <w:r w:rsidR="00000891">
              <w:rPr>
                <w:noProof/>
                <w:webHidden/>
              </w:rPr>
              <w:fldChar w:fldCharType="end"/>
            </w:r>
          </w:hyperlink>
        </w:p>
        <w:p w14:paraId="353604E9" w14:textId="3FDA2A7F" w:rsidR="00000891" w:rsidRDefault="006158FD">
          <w:pPr>
            <w:pStyle w:val="TOC2"/>
            <w:tabs>
              <w:tab w:val="right" w:leader="dot" w:pos="9016"/>
            </w:tabs>
            <w:rPr>
              <w:rFonts w:cstheme="minorBidi"/>
              <w:noProof/>
              <w:kern w:val="2"/>
              <w:lang w:val="en-GB" w:eastAsia="en-GB"/>
              <w14:ligatures w14:val="standardContextual"/>
            </w:rPr>
          </w:pPr>
          <w:hyperlink w:anchor="_Toc184985242" w:history="1">
            <w:r w:rsidR="00000891" w:rsidRPr="009261D2">
              <w:rPr>
                <w:rStyle w:val="Hyperlink"/>
                <w:rFonts w:eastAsia="Calibri"/>
                <w:noProof/>
              </w:rPr>
              <w:t>Devolved Process – Who Does What?</w:t>
            </w:r>
            <w:r w:rsidR="00000891">
              <w:rPr>
                <w:noProof/>
                <w:webHidden/>
              </w:rPr>
              <w:tab/>
            </w:r>
            <w:r w:rsidR="00000891">
              <w:rPr>
                <w:noProof/>
                <w:webHidden/>
              </w:rPr>
              <w:fldChar w:fldCharType="begin"/>
            </w:r>
            <w:r w:rsidR="00000891">
              <w:rPr>
                <w:noProof/>
                <w:webHidden/>
              </w:rPr>
              <w:instrText xml:space="preserve"> PAGEREF _Toc184985242 \h </w:instrText>
            </w:r>
            <w:r w:rsidR="00000891">
              <w:rPr>
                <w:noProof/>
                <w:webHidden/>
              </w:rPr>
            </w:r>
            <w:r w:rsidR="00000891">
              <w:rPr>
                <w:noProof/>
                <w:webHidden/>
              </w:rPr>
              <w:fldChar w:fldCharType="separate"/>
            </w:r>
            <w:r w:rsidR="00000891">
              <w:rPr>
                <w:noProof/>
                <w:webHidden/>
              </w:rPr>
              <w:t>5</w:t>
            </w:r>
            <w:r w:rsidR="00000891">
              <w:rPr>
                <w:noProof/>
                <w:webHidden/>
              </w:rPr>
              <w:fldChar w:fldCharType="end"/>
            </w:r>
          </w:hyperlink>
        </w:p>
        <w:p w14:paraId="74673196" w14:textId="38C145CB" w:rsidR="00000891" w:rsidRDefault="006158FD">
          <w:pPr>
            <w:pStyle w:val="TOC2"/>
            <w:tabs>
              <w:tab w:val="right" w:leader="dot" w:pos="9016"/>
            </w:tabs>
            <w:rPr>
              <w:rFonts w:cstheme="minorBidi"/>
              <w:noProof/>
              <w:kern w:val="2"/>
              <w:lang w:val="en-GB" w:eastAsia="en-GB"/>
              <w14:ligatures w14:val="standardContextual"/>
            </w:rPr>
          </w:pPr>
          <w:hyperlink w:anchor="_Toc184985243" w:history="1">
            <w:r w:rsidR="00000891" w:rsidRPr="009261D2">
              <w:rPr>
                <w:rStyle w:val="Hyperlink"/>
                <w:rFonts w:eastAsia="Calibri"/>
                <w:noProof/>
              </w:rPr>
              <w:t>‘Collect With Care’ Approach</w:t>
            </w:r>
            <w:r w:rsidR="00000891">
              <w:rPr>
                <w:noProof/>
                <w:webHidden/>
              </w:rPr>
              <w:tab/>
            </w:r>
            <w:r w:rsidR="00000891">
              <w:rPr>
                <w:noProof/>
                <w:webHidden/>
              </w:rPr>
              <w:fldChar w:fldCharType="begin"/>
            </w:r>
            <w:r w:rsidR="00000891">
              <w:rPr>
                <w:noProof/>
                <w:webHidden/>
              </w:rPr>
              <w:instrText xml:space="preserve"> PAGEREF _Toc184985243 \h </w:instrText>
            </w:r>
            <w:r w:rsidR="00000891">
              <w:rPr>
                <w:noProof/>
                <w:webHidden/>
              </w:rPr>
            </w:r>
            <w:r w:rsidR="00000891">
              <w:rPr>
                <w:noProof/>
                <w:webHidden/>
              </w:rPr>
              <w:fldChar w:fldCharType="separate"/>
            </w:r>
            <w:r w:rsidR="00000891">
              <w:rPr>
                <w:noProof/>
                <w:webHidden/>
              </w:rPr>
              <w:t>6</w:t>
            </w:r>
            <w:r w:rsidR="00000891">
              <w:rPr>
                <w:noProof/>
                <w:webHidden/>
              </w:rPr>
              <w:fldChar w:fldCharType="end"/>
            </w:r>
          </w:hyperlink>
        </w:p>
        <w:p w14:paraId="35E64A9E" w14:textId="21ED07CF" w:rsidR="00000891" w:rsidRDefault="006158FD">
          <w:pPr>
            <w:pStyle w:val="TOC2"/>
            <w:tabs>
              <w:tab w:val="right" w:leader="dot" w:pos="9016"/>
            </w:tabs>
            <w:rPr>
              <w:rFonts w:cstheme="minorBidi"/>
              <w:noProof/>
              <w:kern w:val="2"/>
              <w:lang w:val="en-GB" w:eastAsia="en-GB"/>
              <w14:ligatures w14:val="standardContextual"/>
            </w:rPr>
          </w:pPr>
          <w:hyperlink w:anchor="_Toc184985244" w:history="1">
            <w:r w:rsidR="00000891" w:rsidRPr="009261D2">
              <w:rPr>
                <w:rStyle w:val="Hyperlink"/>
                <w:rFonts w:eastAsia="Calibri"/>
                <w:noProof/>
              </w:rPr>
              <w:t>Arrears Prevention</w:t>
            </w:r>
            <w:r w:rsidR="00000891">
              <w:rPr>
                <w:noProof/>
                <w:webHidden/>
              </w:rPr>
              <w:tab/>
            </w:r>
            <w:r w:rsidR="00000891">
              <w:rPr>
                <w:noProof/>
                <w:webHidden/>
              </w:rPr>
              <w:fldChar w:fldCharType="begin"/>
            </w:r>
            <w:r w:rsidR="00000891">
              <w:rPr>
                <w:noProof/>
                <w:webHidden/>
              </w:rPr>
              <w:instrText xml:space="preserve"> PAGEREF _Toc184985244 \h </w:instrText>
            </w:r>
            <w:r w:rsidR="00000891">
              <w:rPr>
                <w:noProof/>
                <w:webHidden/>
              </w:rPr>
            </w:r>
            <w:r w:rsidR="00000891">
              <w:rPr>
                <w:noProof/>
                <w:webHidden/>
              </w:rPr>
              <w:fldChar w:fldCharType="separate"/>
            </w:r>
            <w:r w:rsidR="00000891">
              <w:rPr>
                <w:noProof/>
                <w:webHidden/>
              </w:rPr>
              <w:t>6</w:t>
            </w:r>
            <w:r w:rsidR="00000891">
              <w:rPr>
                <w:noProof/>
                <w:webHidden/>
              </w:rPr>
              <w:fldChar w:fldCharType="end"/>
            </w:r>
          </w:hyperlink>
        </w:p>
        <w:p w14:paraId="5EC96471" w14:textId="73CC1170" w:rsidR="00000891" w:rsidRDefault="006158FD">
          <w:pPr>
            <w:pStyle w:val="TOC2"/>
            <w:tabs>
              <w:tab w:val="right" w:leader="dot" w:pos="9016"/>
            </w:tabs>
            <w:rPr>
              <w:rFonts w:cstheme="minorBidi"/>
              <w:noProof/>
              <w:kern w:val="2"/>
              <w:lang w:val="en-GB" w:eastAsia="en-GB"/>
              <w14:ligatures w14:val="standardContextual"/>
            </w:rPr>
          </w:pPr>
          <w:hyperlink w:anchor="_Toc184985245" w:history="1">
            <w:r w:rsidR="00000891" w:rsidRPr="009261D2">
              <w:rPr>
                <w:rStyle w:val="Hyperlink"/>
                <w:rFonts w:eastAsia="Calibri"/>
                <w:noProof/>
              </w:rPr>
              <w:t>Arrears Recovery</w:t>
            </w:r>
            <w:r w:rsidR="00000891">
              <w:rPr>
                <w:noProof/>
                <w:webHidden/>
              </w:rPr>
              <w:tab/>
            </w:r>
            <w:r w:rsidR="00000891">
              <w:rPr>
                <w:noProof/>
                <w:webHidden/>
              </w:rPr>
              <w:fldChar w:fldCharType="begin"/>
            </w:r>
            <w:r w:rsidR="00000891">
              <w:rPr>
                <w:noProof/>
                <w:webHidden/>
              </w:rPr>
              <w:instrText xml:space="preserve"> PAGEREF _Toc184985245 \h </w:instrText>
            </w:r>
            <w:r w:rsidR="00000891">
              <w:rPr>
                <w:noProof/>
                <w:webHidden/>
              </w:rPr>
            </w:r>
            <w:r w:rsidR="00000891">
              <w:rPr>
                <w:noProof/>
                <w:webHidden/>
              </w:rPr>
              <w:fldChar w:fldCharType="separate"/>
            </w:r>
            <w:r w:rsidR="00000891">
              <w:rPr>
                <w:noProof/>
                <w:webHidden/>
              </w:rPr>
              <w:t>7</w:t>
            </w:r>
            <w:r w:rsidR="00000891">
              <w:rPr>
                <w:noProof/>
                <w:webHidden/>
              </w:rPr>
              <w:fldChar w:fldCharType="end"/>
            </w:r>
          </w:hyperlink>
        </w:p>
        <w:p w14:paraId="6F1F231B" w14:textId="09E6FF74" w:rsidR="00000891" w:rsidRDefault="006158FD">
          <w:pPr>
            <w:pStyle w:val="TOC2"/>
            <w:tabs>
              <w:tab w:val="right" w:leader="dot" w:pos="9016"/>
            </w:tabs>
            <w:rPr>
              <w:rFonts w:cstheme="minorBidi"/>
              <w:noProof/>
              <w:kern w:val="2"/>
              <w:lang w:val="en-GB" w:eastAsia="en-GB"/>
              <w14:ligatures w14:val="standardContextual"/>
            </w:rPr>
          </w:pPr>
          <w:hyperlink w:anchor="_Toc184985246" w:history="1">
            <w:r w:rsidR="00000891" w:rsidRPr="009261D2">
              <w:rPr>
                <w:rStyle w:val="Hyperlink"/>
                <w:rFonts w:eastAsia="Calibri"/>
                <w:noProof/>
              </w:rPr>
              <w:t>Helping Hands</w:t>
            </w:r>
            <w:r w:rsidR="00000891">
              <w:rPr>
                <w:noProof/>
                <w:webHidden/>
              </w:rPr>
              <w:tab/>
            </w:r>
            <w:r w:rsidR="00000891">
              <w:rPr>
                <w:noProof/>
                <w:webHidden/>
              </w:rPr>
              <w:fldChar w:fldCharType="begin"/>
            </w:r>
            <w:r w:rsidR="00000891">
              <w:rPr>
                <w:noProof/>
                <w:webHidden/>
              </w:rPr>
              <w:instrText xml:space="preserve"> PAGEREF _Toc184985246 \h </w:instrText>
            </w:r>
            <w:r w:rsidR="00000891">
              <w:rPr>
                <w:noProof/>
                <w:webHidden/>
              </w:rPr>
            </w:r>
            <w:r w:rsidR="00000891">
              <w:rPr>
                <w:noProof/>
                <w:webHidden/>
              </w:rPr>
              <w:fldChar w:fldCharType="separate"/>
            </w:r>
            <w:r w:rsidR="00000891">
              <w:rPr>
                <w:noProof/>
                <w:webHidden/>
              </w:rPr>
              <w:t>8</w:t>
            </w:r>
            <w:r w:rsidR="00000891">
              <w:rPr>
                <w:noProof/>
                <w:webHidden/>
              </w:rPr>
              <w:fldChar w:fldCharType="end"/>
            </w:r>
          </w:hyperlink>
        </w:p>
        <w:p w14:paraId="1892BDC5" w14:textId="124002EE" w:rsidR="00000891" w:rsidRDefault="006158FD">
          <w:pPr>
            <w:pStyle w:val="TOC2"/>
            <w:tabs>
              <w:tab w:val="right" w:leader="dot" w:pos="9016"/>
            </w:tabs>
            <w:rPr>
              <w:rFonts w:cstheme="minorBidi"/>
              <w:noProof/>
              <w:kern w:val="2"/>
              <w:lang w:val="en-GB" w:eastAsia="en-GB"/>
              <w14:ligatures w14:val="standardContextual"/>
            </w:rPr>
          </w:pPr>
          <w:hyperlink w:anchor="_Toc184985247" w:history="1">
            <w:r w:rsidR="00000891" w:rsidRPr="009261D2">
              <w:rPr>
                <w:rStyle w:val="Hyperlink"/>
                <w:rFonts w:eastAsia="Calibri"/>
                <w:noProof/>
              </w:rPr>
              <w:t>Use of Section 21 Notices</w:t>
            </w:r>
            <w:r w:rsidR="00000891">
              <w:rPr>
                <w:noProof/>
                <w:webHidden/>
              </w:rPr>
              <w:tab/>
            </w:r>
            <w:r w:rsidR="00000891">
              <w:rPr>
                <w:noProof/>
                <w:webHidden/>
              </w:rPr>
              <w:fldChar w:fldCharType="begin"/>
            </w:r>
            <w:r w:rsidR="00000891">
              <w:rPr>
                <w:noProof/>
                <w:webHidden/>
              </w:rPr>
              <w:instrText xml:space="preserve"> PAGEREF _Toc184985247 \h </w:instrText>
            </w:r>
            <w:r w:rsidR="00000891">
              <w:rPr>
                <w:noProof/>
                <w:webHidden/>
              </w:rPr>
            </w:r>
            <w:r w:rsidR="00000891">
              <w:rPr>
                <w:noProof/>
                <w:webHidden/>
              </w:rPr>
              <w:fldChar w:fldCharType="separate"/>
            </w:r>
            <w:r w:rsidR="00000891">
              <w:rPr>
                <w:noProof/>
                <w:webHidden/>
              </w:rPr>
              <w:t>8</w:t>
            </w:r>
            <w:r w:rsidR="00000891">
              <w:rPr>
                <w:noProof/>
                <w:webHidden/>
              </w:rPr>
              <w:fldChar w:fldCharType="end"/>
            </w:r>
          </w:hyperlink>
        </w:p>
        <w:p w14:paraId="5086E4E4" w14:textId="52629898" w:rsidR="00000891" w:rsidRDefault="006158FD">
          <w:pPr>
            <w:pStyle w:val="TOC2"/>
            <w:tabs>
              <w:tab w:val="right" w:leader="dot" w:pos="9016"/>
            </w:tabs>
            <w:rPr>
              <w:rFonts w:cstheme="minorBidi"/>
              <w:noProof/>
              <w:kern w:val="2"/>
              <w:lang w:val="en-GB" w:eastAsia="en-GB"/>
              <w14:ligatures w14:val="standardContextual"/>
            </w:rPr>
          </w:pPr>
          <w:hyperlink w:anchor="_Toc184985248" w:history="1">
            <w:r w:rsidR="00000891" w:rsidRPr="009261D2">
              <w:rPr>
                <w:rStyle w:val="Hyperlink"/>
                <w:rFonts w:eastAsia="Calibri"/>
                <w:noProof/>
              </w:rPr>
              <w:t>Use of Ground 8 Possession Proceedings</w:t>
            </w:r>
            <w:r w:rsidR="00000891">
              <w:rPr>
                <w:noProof/>
                <w:webHidden/>
              </w:rPr>
              <w:tab/>
            </w:r>
            <w:r w:rsidR="00000891">
              <w:rPr>
                <w:noProof/>
                <w:webHidden/>
              </w:rPr>
              <w:fldChar w:fldCharType="begin"/>
            </w:r>
            <w:r w:rsidR="00000891">
              <w:rPr>
                <w:noProof/>
                <w:webHidden/>
              </w:rPr>
              <w:instrText xml:space="preserve"> PAGEREF _Toc184985248 \h </w:instrText>
            </w:r>
            <w:r w:rsidR="00000891">
              <w:rPr>
                <w:noProof/>
                <w:webHidden/>
              </w:rPr>
            </w:r>
            <w:r w:rsidR="00000891">
              <w:rPr>
                <w:noProof/>
                <w:webHidden/>
              </w:rPr>
              <w:fldChar w:fldCharType="separate"/>
            </w:r>
            <w:r w:rsidR="00000891">
              <w:rPr>
                <w:noProof/>
                <w:webHidden/>
              </w:rPr>
              <w:t>8</w:t>
            </w:r>
            <w:r w:rsidR="00000891">
              <w:rPr>
                <w:noProof/>
                <w:webHidden/>
              </w:rPr>
              <w:fldChar w:fldCharType="end"/>
            </w:r>
          </w:hyperlink>
        </w:p>
        <w:p w14:paraId="6207CCC0" w14:textId="48B44103" w:rsidR="00000891" w:rsidRDefault="006158FD">
          <w:pPr>
            <w:pStyle w:val="TOC2"/>
            <w:tabs>
              <w:tab w:val="right" w:leader="dot" w:pos="9016"/>
            </w:tabs>
            <w:rPr>
              <w:rFonts w:cstheme="minorBidi"/>
              <w:noProof/>
              <w:kern w:val="2"/>
              <w:lang w:val="en-GB" w:eastAsia="en-GB"/>
              <w14:ligatures w14:val="standardContextual"/>
            </w:rPr>
          </w:pPr>
          <w:hyperlink w:anchor="_Toc184985249" w:history="1">
            <w:r w:rsidR="00000891" w:rsidRPr="009261D2">
              <w:rPr>
                <w:rStyle w:val="Hyperlink"/>
                <w:rFonts w:eastAsia="Calibri"/>
                <w:noProof/>
              </w:rPr>
              <w:t>Breathing Space and Debt Relief Orders</w:t>
            </w:r>
            <w:r w:rsidR="00000891">
              <w:rPr>
                <w:noProof/>
                <w:webHidden/>
              </w:rPr>
              <w:tab/>
            </w:r>
            <w:r w:rsidR="00000891">
              <w:rPr>
                <w:noProof/>
                <w:webHidden/>
              </w:rPr>
              <w:fldChar w:fldCharType="begin"/>
            </w:r>
            <w:r w:rsidR="00000891">
              <w:rPr>
                <w:noProof/>
                <w:webHidden/>
              </w:rPr>
              <w:instrText xml:space="preserve"> PAGEREF _Toc184985249 \h </w:instrText>
            </w:r>
            <w:r w:rsidR="00000891">
              <w:rPr>
                <w:noProof/>
                <w:webHidden/>
              </w:rPr>
            </w:r>
            <w:r w:rsidR="00000891">
              <w:rPr>
                <w:noProof/>
                <w:webHidden/>
              </w:rPr>
              <w:fldChar w:fldCharType="separate"/>
            </w:r>
            <w:r w:rsidR="00000891">
              <w:rPr>
                <w:noProof/>
                <w:webHidden/>
              </w:rPr>
              <w:t>8</w:t>
            </w:r>
            <w:r w:rsidR="00000891">
              <w:rPr>
                <w:noProof/>
                <w:webHidden/>
              </w:rPr>
              <w:fldChar w:fldCharType="end"/>
            </w:r>
          </w:hyperlink>
        </w:p>
        <w:p w14:paraId="6046DE5B" w14:textId="4BEFD77D" w:rsidR="00000891" w:rsidRDefault="006158FD">
          <w:pPr>
            <w:pStyle w:val="TOC2"/>
            <w:tabs>
              <w:tab w:val="right" w:leader="dot" w:pos="9016"/>
            </w:tabs>
            <w:rPr>
              <w:rFonts w:cstheme="minorBidi"/>
              <w:noProof/>
              <w:kern w:val="2"/>
              <w:lang w:val="en-GB" w:eastAsia="en-GB"/>
              <w14:ligatures w14:val="standardContextual"/>
            </w:rPr>
          </w:pPr>
          <w:hyperlink w:anchor="_Toc184985250" w:history="1">
            <w:r w:rsidR="00000891" w:rsidRPr="009261D2">
              <w:rPr>
                <w:rStyle w:val="Hyperlink"/>
                <w:rFonts w:eastAsia="Calibri"/>
                <w:noProof/>
              </w:rPr>
              <w:t>Other Debts</w:t>
            </w:r>
            <w:r w:rsidR="00000891">
              <w:rPr>
                <w:noProof/>
                <w:webHidden/>
              </w:rPr>
              <w:tab/>
            </w:r>
            <w:r w:rsidR="00000891">
              <w:rPr>
                <w:noProof/>
                <w:webHidden/>
              </w:rPr>
              <w:fldChar w:fldCharType="begin"/>
            </w:r>
            <w:r w:rsidR="00000891">
              <w:rPr>
                <w:noProof/>
                <w:webHidden/>
              </w:rPr>
              <w:instrText xml:space="preserve"> PAGEREF _Toc184985250 \h </w:instrText>
            </w:r>
            <w:r w:rsidR="00000891">
              <w:rPr>
                <w:noProof/>
                <w:webHidden/>
              </w:rPr>
            </w:r>
            <w:r w:rsidR="00000891">
              <w:rPr>
                <w:noProof/>
                <w:webHidden/>
              </w:rPr>
              <w:fldChar w:fldCharType="separate"/>
            </w:r>
            <w:r w:rsidR="00000891">
              <w:rPr>
                <w:noProof/>
                <w:webHidden/>
              </w:rPr>
              <w:t>9</w:t>
            </w:r>
            <w:r w:rsidR="00000891">
              <w:rPr>
                <w:noProof/>
                <w:webHidden/>
              </w:rPr>
              <w:fldChar w:fldCharType="end"/>
            </w:r>
          </w:hyperlink>
        </w:p>
        <w:p w14:paraId="19CD2586" w14:textId="186465D4" w:rsidR="00000891" w:rsidRDefault="006158FD">
          <w:pPr>
            <w:pStyle w:val="TOC2"/>
            <w:tabs>
              <w:tab w:val="right" w:leader="dot" w:pos="9016"/>
            </w:tabs>
            <w:rPr>
              <w:rFonts w:cstheme="minorBidi"/>
              <w:noProof/>
              <w:kern w:val="2"/>
              <w:lang w:val="en-GB" w:eastAsia="en-GB"/>
              <w14:ligatures w14:val="standardContextual"/>
            </w:rPr>
          </w:pPr>
          <w:hyperlink w:anchor="_Toc184985251" w:history="1">
            <w:r w:rsidR="00000891" w:rsidRPr="009261D2">
              <w:rPr>
                <w:rStyle w:val="Hyperlink"/>
                <w:rFonts w:eastAsia="Calibri"/>
                <w:noProof/>
              </w:rPr>
              <w:t>Former Tenant Accounts</w:t>
            </w:r>
            <w:r w:rsidR="00000891">
              <w:rPr>
                <w:noProof/>
                <w:webHidden/>
              </w:rPr>
              <w:tab/>
            </w:r>
            <w:r w:rsidR="00000891">
              <w:rPr>
                <w:noProof/>
                <w:webHidden/>
              </w:rPr>
              <w:fldChar w:fldCharType="begin"/>
            </w:r>
            <w:r w:rsidR="00000891">
              <w:rPr>
                <w:noProof/>
                <w:webHidden/>
              </w:rPr>
              <w:instrText xml:space="preserve"> PAGEREF _Toc184985251 \h </w:instrText>
            </w:r>
            <w:r w:rsidR="00000891">
              <w:rPr>
                <w:noProof/>
                <w:webHidden/>
              </w:rPr>
            </w:r>
            <w:r w:rsidR="00000891">
              <w:rPr>
                <w:noProof/>
                <w:webHidden/>
              </w:rPr>
              <w:fldChar w:fldCharType="separate"/>
            </w:r>
            <w:r w:rsidR="00000891">
              <w:rPr>
                <w:noProof/>
                <w:webHidden/>
              </w:rPr>
              <w:t>9</w:t>
            </w:r>
            <w:r w:rsidR="00000891">
              <w:rPr>
                <w:noProof/>
                <w:webHidden/>
              </w:rPr>
              <w:fldChar w:fldCharType="end"/>
            </w:r>
          </w:hyperlink>
        </w:p>
        <w:p w14:paraId="6E253EB3" w14:textId="2FA2E347" w:rsidR="00000891" w:rsidRDefault="006158FD">
          <w:pPr>
            <w:pStyle w:val="TOC2"/>
            <w:tabs>
              <w:tab w:val="right" w:leader="dot" w:pos="9016"/>
            </w:tabs>
            <w:rPr>
              <w:rFonts w:cstheme="minorBidi"/>
              <w:noProof/>
              <w:kern w:val="2"/>
              <w:lang w:val="en-GB" w:eastAsia="en-GB"/>
              <w14:ligatures w14:val="standardContextual"/>
            </w:rPr>
          </w:pPr>
          <w:hyperlink w:anchor="_Toc184985252" w:history="1">
            <w:r w:rsidR="00000891" w:rsidRPr="009261D2">
              <w:rPr>
                <w:rStyle w:val="Hyperlink"/>
                <w:rFonts w:eastAsia="Calibri"/>
                <w:noProof/>
              </w:rPr>
              <w:t>Timing and Approval of Write-Off of Former Tenant Accounts</w:t>
            </w:r>
            <w:r w:rsidR="00000891">
              <w:rPr>
                <w:noProof/>
                <w:webHidden/>
              </w:rPr>
              <w:tab/>
            </w:r>
            <w:r w:rsidR="00000891">
              <w:rPr>
                <w:noProof/>
                <w:webHidden/>
              </w:rPr>
              <w:fldChar w:fldCharType="begin"/>
            </w:r>
            <w:r w:rsidR="00000891">
              <w:rPr>
                <w:noProof/>
                <w:webHidden/>
              </w:rPr>
              <w:instrText xml:space="preserve"> PAGEREF _Toc184985252 \h </w:instrText>
            </w:r>
            <w:r w:rsidR="00000891">
              <w:rPr>
                <w:noProof/>
                <w:webHidden/>
              </w:rPr>
            </w:r>
            <w:r w:rsidR="00000891">
              <w:rPr>
                <w:noProof/>
                <w:webHidden/>
              </w:rPr>
              <w:fldChar w:fldCharType="separate"/>
            </w:r>
            <w:r w:rsidR="00000891">
              <w:rPr>
                <w:noProof/>
                <w:webHidden/>
              </w:rPr>
              <w:t>10</w:t>
            </w:r>
            <w:r w:rsidR="00000891">
              <w:rPr>
                <w:noProof/>
                <w:webHidden/>
              </w:rPr>
              <w:fldChar w:fldCharType="end"/>
            </w:r>
          </w:hyperlink>
        </w:p>
        <w:p w14:paraId="25E33BA3" w14:textId="273F035F" w:rsidR="00000891" w:rsidRDefault="006158FD">
          <w:pPr>
            <w:pStyle w:val="TOC2"/>
            <w:tabs>
              <w:tab w:val="right" w:leader="dot" w:pos="9016"/>
            </w:tabs>
            <w:rPr>
              <w:rFonts w:cstheme="minorBidi"/>
              <w:noProof/>
              <w:kern w:val="2"/>
              <w:lang w:val="en-GB" w:eastAsia="en-GB"/>
              <w14:ligatures w14:val="standardContextual"/>
            </w:rPr>
          </w:pPr>
          <w:hyperlink w:anchor="_Toc184985253" w:history="1">
            <w:r w:rsidR="00000891" w:rsidRPr="009261D2">
              <w:rPr>
                <w:rStyle w:val="Hyperlink"/>
                <w:rFonts w:eastAsia="Calibri"/>
                <w:noProof/>
              </w:rPr>
              <w:t>Debts Written Off and Subsequently Paid or Reclaimed</w:t>
            </w:r>
            <w:r w:rsidR="00000891">
              <w:rPr>
                <w:noProof/>
                <w:webHidden/>
              </w:rPr>
              <w:tab/>
            </w:r>
            <w:r w:rsidR="00000891">
              <w:rPr>
                <w:noProof/>
                <w:webHidden/>
              </w:rPr>
              <w:fldChar w:fldCharType="begin"/>
            </w:r>
            <w:r w:rsidR="00000891">
              <w:rPr>
                <w:noProof/>
                <w:webHidden/>
              </w:rPr>
              <w:instrText xml:space="preserve"> PAGEREF _Toc184985253 \h </w:instrText>
            </w:r>
            <w:r w:rsidR="00000891">
              <w:rPr>
                <w:noProof/>
                <w:webHidden/>
              </w:rPr>
            </w:r>
            <w:r w:rsidR="00000891">
              <w:rPr>
                <w:noProof/>
                <w:webHidden/>
              </w:rPr>
              <w:fldChar w:fldCharType="separate"/>
            </w:r>
            <w:r w:rsidR="00000891">
              <w:rPr>
                <w:noProof/>
                <w:webHidden/>
              </w:rPr>
              <w:t>10</w:t>
            </w:r>
            <w:r w:rsidR="00000891">
              <w:rPr>
                <w:noProof/>
                <w:webHidden/>
              </w:rPr>
              <w:fldChar w:fldCharType="end"/>
            </w:r>
          </w:hyperlink>
        </w:p>
        <w:p w14:paraId="19739131" w14:textId="4FFFA3F5" w:rsidR="00000891" w:rsidRDefault="006158FD">
          <w:pPr>
            <w:pStyle w:val="TOC2"/>
            <w:tabs>
              <w:tab w:val="right" w:leader="dot" w:pos="9016"/>
            </w:tabs>
            <w:rPr>
              <w:rFonts w:cstheme="minorBidi"/>
              <w:noProof/>
              <w:kern w:val="2"/>
              <w:lang w:val="en-GB" w:eastAsia="en-GB"/>
              <w14:ligatures w14:val="standardContextual"/>
            </w:rPr>
          </w:pPr>
          <w:hyperlink w:anchor="_Toc184985254" w:history="1">
            <w:r w:rsidR="00000891" w:rsidRPr="009261D2">
              <w:rPr>
                <w:rStyle w:val="Hyperlink"/>
                <w:rFonts w:eastAsia="Calibri"/>
                <w:noProof/>
              </w:rPr>
              <w:t>Bad Debt Provision</w:t>
            </w:r>
            <w:r w:rsidR="00000891">
              <w:rPr>
                <w:noProof/>
                <w:webHidden/>
              </w:rPr>
              <w:tab/>
            </w:r>
            <w:r w:rsidR="00000891">
              <w:rPr>
                <w:noProof/>
                <w:webHidden/>
              </w:rPr>
              <w:fldChar w:fldCharType="begin"/>
            </w:r>
            <w:r w:rsidR="00000891">
              <w:rPr>
                <w:noProof/>
                <w:webHidden/>
              </w:rPr>
              <w:instrText xml:space="preserve"> PAGEREF _Toc184985254 \h </w:instrText>
            </w:r>
            <w:r w:rsidR="00000891">
              <w:rPr>
                <w:noProof/>
                <w:webHidden/>
              </w:rPr>
            </w:r>
            <w:r w:rsidR="00000891">
              <w:rPr>
                <w:noProof/>
                <w:webHidden/>
              </w:rPr>
              <w:fldChar w:fldCharType="separate"/>
            </w:r>
            <w:r w:rsidR="00000891">
              <w:rPr>
                <w:noProof/>
                <w:webHidden/>
              </w:rPr>
              <w:t>10</w:t>
            </w:r>
            <w:r w:rsidR="00000891">
              <w:rPr>
                <w:noProof/>
                <w:webHidden/>
              </w:rPr>
              <w:fldChar w:fldCharType="end"/>
            </w:r>
          </w:hyperlink>
        </w:p>
        <w:p w14:paraId="0195C864" w14:textId="270EE79E" w:rsidR="00000891" w:rsidRDefault="006158FD">
          <w:pPr>
            <w:pStyle w:val="TOC2"/>
            <w:tabs>
              <w:tab w:val="right" w:leader="dot" w:pos="9016"/>
            </w:tabs>
            <w:rPr>
              <w:rFonts w:cstheme="minorBidi"/>
              <w:noProof/>
              <w:kern w:val="2"/>
              <w:lang w:val="en-GB" w:eastAsia="en-GB"/>
              <w14:ligatures w14:val="standardContextual"/>
            </w:rPr>
          </w:pPr>
          <w:hyperlink w:anchor="_Toc184985255" w:history="1">
            <w:r w:rsidR="00000891" w:rsidRPr="009261D2">
              <w:rPr>
                <w:rStyle w:val="Hyperlink"/>
                <w:rFonts w:eastAsia="Calibri"/>
                <w:noProof/>
              </w:rPr>
              <w:t>Shared Ownership</w:t>
            </w:r>
            <w:r w:rsidR="00000891">
              <w:rPr>
                <w:noProof/>
                <w:webHidden/>
              </w:rPr>
              <w:tab/>
            </w:r>
            <w:r w:rsidR="00000891">
              <w:rPr>
                <w:noProof/>
                <w:webHidden/>
              </w:rPr>
              <w:fldChar w:fldCharType="begin"/>
            </w:r>
            <w:r w:rsidR="00000891">
              <w:rPr>
                <w:noProof/>
                <w:webHidden/>
              </w:rPr>
              <w:instrText xml:space="preserve"> PAGEREF _Toc184985255 \h </w:instrText>
            </w:r>
            <w:r w:rsidR="00000891">
              <w:rPr>
                <w:noProof/>
                <w:webHidden/>
              </w:rPr>
            </w:r>
            <w:r w:rsidR="00000891">
              <w:rPr>
                <w:noProof/>
                <w:webHidden/>
              </w:rPr>
              <w:fldChar w:fldCharType="separate"/>
            </w:r>
            <w:r w:rsidR="00000891">
              <w:rPr>
                <w:noProof/>
                <w:webHidden/>
              </w:rPr>
              <w:t>10</w:t>
            </w:r>
            <w:r w:rsidR="00000891">
              <w:rPr>
                <w:noProof/>
                <w:webHidden/>
              </w:rPr>
              <w:fldChar w:fldCharType="end"/>
            </w:r>
          </w:hyperlink>
        </w:p>
        <w:p w14:paraId="6A3551A8" w14:textId="7279B98E" w:rsidR="00000891" w:rsidRDefault="006158F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985256" w:history="1">
            <w:r w:rsidR="00000891" w:rsidRPr="009261D2">
              <w:rPr>
                <w:rStyle w:val="Hyperlink"/>
                <w:noProof/>
              </w:rPr>
              <w:t>Review of Decisions</w:t>
            </w:r>
            <w:r w:rsidR="00000891">
              <w:rPr>
                <w:noProof/>
                <w:webHidden/>
              </w:rPr>
              <w:tab/>
            </w:r>
            <w:r w:rsidR="00000891">
              <w:rPr>
                <w:noProof/>
                <w:webHidden/>
              </w:rPr>
              <w:fldChar w:fldCharType="begin"/>
            </w:r>
            <w:r w:rsidR="00000891">
              <w:rPr>
                <w:noProof/>
                <w:webHidden/>
              </w:rPr>
              <w:instrText xml:space="preserve"> PAGEREF _Toc184985256 \h </w:instrText>
            </w:r>
            <w:r w:rsidR="00000891">
              <w:rPr>
                <w:noProof/>
                <w:webHidden/>
              </w:rPr>
            </w:r>
            <w:r w:rsidR="00000891">
              <w:rPr>
                <w:noProof/>
                <w:webHidden/>
              </w:rPr>
              <w:fldChar w:fldCharType="separate"/>
            </w:r>
            <w:r w:rsidR="00000891">
              <w:rPr>
                <w:noProof/>
                <w:webHidden/>
              </w:rPr>
              <w:t>10</w:t>
            </w:r>
            <w:r w:rsidR="00000891">
              <w:rPr>
                <w:noProof/>
                <w:webHidden/>
              </w:rPr>
              <w:fldChar w:fldCharType="end"/>
            </w:r>
          </w:hyperlink>
        </w:p>
        <w:p w14:paraId="1A8A961E" w14:textId="44828653" w:rsidR="00000891" w:rsidRDefault="006158F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985257" w:history="1">
            <w:r w:rsidR="00000891" w:rsidRPr="009261D2">
              <w:rPr>
                <w:rStyle w:val="Hyperlink"/>
                <w:noProof/>
              </w:rPr>
              <w:t>Process</w:t>
            </w:r>
            <w:r w:rsidR="00000891">
              <w:rPr>
                <w:noProof/>
                <w:webHidden/>
              </w:rPr>
              <w:tab/>
            </w:r>
            <w:r w:rsidR="00000891">
              <w:rPr>
                <w:noProof/>
                <w:webHidden/>
              </w:rPr>
              <w:fldChar w:fldCharType="begin"/>
            </w:r>
            <w:r w:rsidR="00000891">
              <w:rPr>
                <w:noProof/>
                <w:webHidden/>
              </w:rPr>
              <w:instrText xml:space="preserve"> PAGEREF _Toc184985257 \h </w:instrText>
            </w:r>
            <w:r w:rsidR="00000891">
              <w:rPr>
                <w:noProof/>
                <w:webHidden/>
              </w:rPr>
            </w:r>
            <w:r w:rsidR="00000891">
              <w:rPr>
                <w:noProof/>
                <w:webHidden/>
              </w:rPr>
              <w:fldChar w:fldCharType="separate"/>
            </w:r>
            <w:r w:rsidR="00000891">
              <w:rPr>
                <w:noProof/>
                <w:webHidden/>
              </w:rPr>
              <w:t>11</w:t>
            </w:r>
            <w:r w:rsidR="00000891">
              <w:rPr>
                <w:noProof/>
                <w:webHidden/>
              </w:rPr>
              <w:fldChar w:fldCharType="end"/>
            </w:r>
          </w:hyperlink>
        </w:p>
        <w:p w14:paraId="03BCBBD6" w14:textId="51ADB40B" w:rsidR="00BC035B" w:rsidRDefault="00BC035B">
          <w:r>
            <w:rPr>
              <w:b/>
              <w:bCs/>
              <w:noProof/>
            </w:rPr>
            <w:fldChar w:fldCharType="end"/>
          </w:r>
        </w:p>
      </w:sdtContent>
    </w:sdt>
    <w:p w14:paraId="267DC2AA" w14:textId="77777777" w:rsidR="00E426FC" w:rsidRDefault="00E426FC" w:rsidP="006B6F8B">
      <w:pPr>
        <w:pStyle w:val="Heading1"/>
        <w:rPr>
          <w:lang w:val="en-US"/>
        </w:rPr>
      </w:pPr>
    </w:p>
    <w:p w14:paraId="139AC01F" w14:textId="77777777" w:rsidR="009F485F" w:rsidRDefault="009F485F" w:rsidP="009F485F">
      <w:pPr>
        <w:rPr>
          <w:lang w:val="en-US"/>
        </w:rPr>
      </w:pPr>
    </w:p>
    <w:p w14:paraId="69144D54" w14:textId="77777777" w:rsidR="009F485F" w:rsidRDefault="009F485F" w:rsidP="009F485F">
      <w:pPr>
        <w:rPr>
          <w:lang w:val="en-US"/>
        </w:rPr>
      </w:pPr>
    </w:p>
    <w:p w14:paraId="2B7EF920" w14:textId="77777777" w:rsidR="009F485F" w:rsidRDefault="009F485F" w:rsidP="009F485F">
      <w:pPr>
        <w:rPr>
          <w:lang w:val="en-US"/>
        </w:rPr>
      </w:pPr>
    </w:p>
    <w:p w14:paraId="5377481C" w14:textId="77777777" w:rsidR="009F485F" w:rsidRDefault="009F485F" w:rsidP="009F485F">
      <w:pPr>
        <w:rPr>
          <w:lang w:val="en-US"/>
        </w:rPr>
      </w:pPr>
    </w:p>
    <w:p w14:paraId="6B0D2A09" w14:textId="77777777" w:rsidR="00EC6335" w:rsidRDefault="00EC6335" w:rsidP="009F485F">
      <w:pPr>
        <w:rPr>
          <w:lang w:val="en-US"/>
        </w:rPr>
      </w:pPr>
    </w:p>
    <w:p w14:paraId="28FDA412" w14:textId="77777777" w:rsidR="00EC6335" w:rsidRDefault="00EC6335" w:rsidP="009F485F">
      <w:pPr>
        <w:rPr>
          <w:lang w:val="en-US"/>
        </w:rPr>
      </w:pPr>
    </w:p>
    <w:p w14:paraId="7E1E6229" w14:textId="7D9F3E54" w:rsidR="009F485F" w:rsidRDefault="009F485F" w:rsidP="009F485F">
      <w:pPr>
        <w:rPr>
          <w:lang w:val="en-US"/>
        </w:rPr>
      </w:pPr>
    </w:p>
    <w:p w14:paraId="7BDE6976" w14:textId="0036FDAD" w:rsidR="00967959" w:rsidRDefault="00D8505E" w:rsidP="00777C8D">
      <w:pPr>
        <w:pStyle w:val="Heading1"/>
        <w:rPr>
          <w:rFonts w:cs="Calibri"/>
          <w:color w:val="000000"/>
          <w:kern w:val="2"/>
          <w:sz w:val="24"/>
          <w:szCs w:val="24"/>
          <w:lang w:eastAsia="en-GB"/>
          <w14:ligatures w14:val="standardContextual"/>
        </w:rPr>
      </w:pPr>
      <w:bookmarkStart w:id="2" w:name="_Toc184985238"/>
      <w:r w:rsidRPr="00A94323">
        <w:t>Legislation</w:t>
      </w:r>
      <w:r w:rsidRPr="00DD115E">
        <w:rPr>
          <w:lang w:eastAsia="en-GB"/>
        </w:rPr>
        <w:t xml:space="preserve"> </w:t>
      </w:r>
      <w:r w:rsidR="00967959" w:rsidRPr="00DD115E">
        <w:rPr>
          <w:lang w:eastAsia="en-GB"/>
        </w:rPr>
        <w:t xml:space="preserve">and </w:t>
      </w:r>
      <w:r w:rsidRPr="00DD115E">
        <w:rPr>
          <w:lang w:eastAsia="en-GB"/>
        </w:rPr>
        <w:t xml:space="preserve">Regulatory </w:t>
      </w:r>
      <w:r w:rsidR="00967959" w:rsidRPr="00DD115E">
        <w:rPr>
          <w:lang w:eastAsia="en-GB"/>
        </w:rPr>
        <w:t>Guidance</w:t>
      </w:r>
      <w:bookmarkEnd w:id="2"/>
      <w:r w:rsidR="00967959" w:rsidRPr="00DD115E">
        <w:rPr>
          <w:lang w:eastAsia="en-GB"/>
        </w:rPr>
        <w:t xml:space="preserve"> </w:t>
      </w:r>
    </w:p>
    <w:p w14:paraId="3999B7BD" w14:textId="4055CCD1" w:rsidR="001346F6" w:rsidRPr="00FC01F5" w:rsidRDefault="001346F6" w:rsidP="0006758F">
      <w:pPr>
        <w:spacing w:after="4" w:line="251" w:lineRule="auto"/>
        <w:rPr>
          <w:rFonts w:cs="Calibri"/>
          <w:color w:val="000000"/>
          <w:kern w:val="2"/>
          <w:sz w:val="24"/>
          <w:szCs w:val="24"/>
          <w:lang w:eastAsia="en-GB"/>
          <w14:ligatures w14:val="standardContextual"/>
        </w:rPr>
      </w:pPr>
      <w:r w:rsidRPr="00FC01F5">
        <w:rPr>
          <w:rFonts w:cs="Calibri"/>
          <w:color w:val="000000"/>
          <w:kern w:val="2"/>
          <w:sz w:val="24"/>
          <w:szCs w:val="24"/>
          <w:lang w:eastAsia="en-GB"/>
          <w14:ligatures w14:val="standardContextual"/>
        </w:rPr>
        <w:t xml:space="preserve">This policy is set within the context of relevant legislation and regulatory guidance which includes: </w:t>
      </w:r>
    </w:p>
    <w:p w14:paraId="4B361973" w14:textId="77777777" w:rsidR="00601B13" w:rsidRPr="00FC01F5" w:rsidRDefault="00601B13" w:rsidP="00601B13">
      <w:pPr>
        <w:pStyle w:val="ListParagraph"/>
        <w:numPr>
          <w:ilvl w:val="0"/>
          <w:numId w:val="5"/>
        </w:numPr>
        <w:spacing w:after="50" w:line="249" w:lineRule="auto"/>
        <w:rPr>
          <w:sz w:val="24"/>
          <w:szCs w:val="24"/>
        </w:rPr>
      </w:pPr>
      <w:r w:rsidRPr="00FC01F5">
        <w:rPr>
          <w:sz w:val="24"/>
          <w:szCs w:val="24"/>
        </w:rPr>
        <w:t>The Social Housing (Regulations) Act 2023</w:t>
      </w:r>
    </w:p>
    <w:p w14:paraId="757B39F9" w14:textId="77777777" w:rsidR="00601B13" w:rsidRPr="00FC01F5" w:rsidRDefault="00601B13" w:rsidP="00601B13">
      <w:pPr>
        <w:pStyle w:val="ListParagraph"/>
        <w:numPr>
          <w:ilvl w:val="0"/>
          <w:numId w:val="5"/>
        </w:numPr>
        <w:spacing w:after="57" w:line="256" w:lineRule="auto"/>
        <w:rPr>
          <w:sz w:val="24"/>
          <w:szCs w:val="24"/>
        </w:rPr>
      </w:pPr>
      <w:r w:rsidRPr="00FC01F5">
        <w:rPr>
          <w:sz w:val="24"/>
          <w:szCs w:val="24"/>
        </w:rPr>
        <w:t xml:space="preserve">Housing and Regeneration Act 2008 </w:t>
      </w:r>
    </w:p>
    <w:p w14:paraId="136C0690" w14:textId="77777777" w:rsidR="00601B13" w:rsidRPr="00FC01F5" w:rsidRDefault="00601B13" w:rsidP="00601B13">
      <w:pPr>
        <w:pStyle w:val="ListParagraph"/>
        <w:numPr>
          <w:ilvl w:val="0"/>
          <w:numId w:val="5"/>
        </w:numPr>
        <w:spacing w:after="50" w:line="249" w:lineRule="auto"/>
        <w:rPr>
          <w:sz w:val="24"/>
          <w:szCs w:val="24"/>
        </w:rPr>
      </w:pPr>
      <w:r w:rsidRPr="00FC01F5">
        <w:rPr>
          <w:sz w:val="24"/>
          <w:szCs w:val="24"/>
        </w:rPr>
        <w:t xml:space="preserve">Housing Act 1985, 1988 (as amended by section 101 of the Housing Act 1996) </w:t>
      </w:r>
    </w:p>
    <w:p w14:paraId="32447497" w14:textId="77777777" w:rsidR="00601B13" w:rsidRPr="00FC01F5" w:rsidRDefault="00601B13" w:rsidP="00601B13">
      <w:pPr>
        <w:pStyle w:val="ListParagraph"/>
        <w:numPr>
          <w:ilvl w:val="0"/>
          <w:numId w:val="5"/>
        </w:numPr>
        <w:spacing w:after="52" w:line="249" w:lineRule="auto"/>
        <w:rPr>
          <w:sz w:val="24"/>
          <w:szCs w:val="24"/>
        </w:rPr>
      </w:pPr>
      <w:r w:rsidRPr="00FC01F5">
        <w:rPr>
          <w:sz w:val="24"/>
          <w:szCs w:val="24"/>
        </w:rPr>
        <w:t xml:space="preserve">Protection from Eviction Act 1977 </w:t>
      </w:r>
    </w:p>
    <w:p w14:paraId="07399A21" w14:textId="77777777" w:rsidR="00601B13" w:rsidRPr="00FC01F5" w:rsidRDefault="00601B13" w:rsidP="00601B13">
      <w:pPr>
        <w:pStyle w:val="ListParagraph"/>
        <w:numPr>
          <w:ilvl w:val="0"/>
          <w:numId w:val="5"/>
        </w:numPr>
        <w:spacing w:after="50" w:line="249" w:lineRule="auto"/>
        <w:rPr>
          <w:sz w:val="24"/>
          <w:szCs w:val="24"/>
        </w:rPr>
      </w:pPr>
      <w:r w:rsidRPr="00FC01F5">
        <w:rPr>
          <w:sz w:val="24"/>
          <w:szCs w:val="24"/>
        </w:rPr>
        <w:t xml:space="preserve">Equality Act 2010 </w:t>
      </w:r>
    </w:p>
    <w:p w14:paraId="47DA8C3A" w14:textId="77777777" w:rsidR="00601B13" w:rsidRPr="00FC01F5" w:rsidRDefault="00601B13" w:rsidP="00601B13">
      <w:pPr>
        <w:pStyle w:val="ListParagraph"/>
        <w:numPr>
          <w:ilvl w:val="0"/>
          <w:numId w:val="5"/>
        </w:numPr>
        <w:spacing w:after="4" w:line="249" w:lineRule="auto"/>
        <w:rPr>
          <w:sz w:val="24"/>
          <w:szCs w:val="24"/>
        </w:rPr>
      </w:pPr>
      <w:r w:rsidRPr="00FC01F5">
        <w:rPr>
          <w:sz w:val="24"/>
          <w:szCs w:val="24"/>
        </w:rPr>
        <w:t xml:space="preserve">Human Rights Act 1998 </w:t>
      </w:r>
    </w:p>
    <w:p w14:paraId="2642554E" w14:textId="77777777" w:rsidR="00601B13" w:rsidRPr="00FC01F5" w:rsidRDefault="00601B13" w:rsidP="00601B13">
      <w:pPr>
        <w:pStyle w:val="ListParagraph"/>
        <w:numPr>
          <w:ilvl w:val="0"/>
          <w:numId w:val="5"/>
        </w:numPr>
        <w:spacing w:after="67" w:line="249" w:lineRule="auto"/>
        <w:rPr>
          <w:sz w:val="24"/>
          <w:szCs w:val="24"/>
        </w:rPr>
      </w:pPr>
      <w:r w:rsidRPr="00FC01F5">
        <w:rPr>
          <w:sz w:val="24"/>
          <w:szCs w:val="24"/>
        </w:rPr>
        <w:t xml:space="preserve">Human rights at home: Guidance for social housing providers (Equality and Human Rights Commission Guidance) </w:t>
      </w:r>
    </w:p>
    <w:p w14:paraId="59CF48B5" w14:textId="77777777" w:rsidR="00601B13" w:rsidRDefault="00601B13" w:rsidP="00601B13">
      <w:pPr>
        <w:pStyle w:val="ListParagraph"/>
        <w:numPr>
          <w:ilvl w:val="0"/>
          <w:numId w:val="5"/>
        </w:numPr>
        <w:spacing w:after="53" w:line="249" w:lineRule="auto"/>
        <w:rPr>
          <w:sz w:val="24"/>
          <w:szCs w:val="24"/>
        </w:rPr>
      </w:pPr>
      <w:r w:rsidRPr="00FC01F5">
        <w:rPr>
          <w:sz w:val="24"/>
          <w:szCs w:val="24"/>
        </w:rPr>
        <w:t xml:space="preserve">Homelessness Reduction Act 2017 </w:t>
      </w:r>
    </w:p>
    <w:p w14:paraId="7F90D14E" w14:textId="14E8CE43" w:rsidR="0095396C" w:rsidRPr="00FC01F5" w:rsidRDefault="0095396C" w:rsidP="00601B13">
      <w:pPr>
        <w:pStyle w:val="ListParagraph"/>
        <w:numPr>
          <w:ilvl w:val="0"/>
          <w:numId w:val="5"/>
        </w:numPr>
        <w:spacing w:after="53" w:line="249" w:lineRule="auto"/>
        <w:rPr>
          <w:sz w:val="24"/>
          <w:szCs w:val="24"/>
        </w:rPr>
      </w:pPr>
      <w:r w:rsidRPr="0095396C">
        <w:rPr>
          <w:sz w:val="24"/>
          <w:szCs w:val="24"/>
        </w:rPr>
        <w:t>The Data Protection Act 2018</w:t>
      </w:r>
    </w:p>
    <w:p w14:paraId="00252A83" w14:textId="77777777" w:rsidR="00601B13" w:rsidRPr="00FC01F5" w:rsidRDefault="00601B13" w:rsidP="00601B13">
      <w:pPr>
        <w:pStyle w:val="ListParagraph"/>
        <w:numPr>
          <w:ilvl w:val="0"/>
          <w:numId w:val="5"/>
        </w:numPr>
        <w:spacing w:after="51" w:line="249" w:lineRule="auto"/>
        <w:rPr>
          <w:sz w:val="24"/>
          <w:szCs w:val="24"/>
        </w:rPr>
      </w:pPr>
      <w:r w:rsidRPr="00FC01F5">
        <w:rPr>
          <w:sz w:val="24"/>
          <w:szCs w:val="24"/>
        </w:rPr>
        <w:t xml:space="preserve">Pre-Action Protocol for Possession Claims by Social Landlords </w:t>
      </w:r>
    </w:p>
    <w:p w14:paraId="2CDCA681" w14:textId="77777777" w:rsidR="00601B13" w:rsidRPr="00FC01F5" w:rsidRDefault="00601B13" w:rsidP="00601B13">
      <w:pPr>
        <w:pStyle w:val="ListParagraph"/>
        <w:numPr>
          <w:ilvl w:val="0"/>
          <w:numId w:val="5"/>
        </w:numPr>
        <w:spacing w:after="53" w:line="249" w:lineRule="auto"/>
        <w:rPr>
          <w:sz w:val="24"/>
          <w:szCs w:val="24"/>
        </w:rPr>
      </w:pPr>
      <w:r w:rsidRPr="00FC01F5">
        <w:rPr>
          <w:sz w:val="24"/>
          <w:szCs w:val="24"/>
        </w:rPr>
        <w:t xml:space="preserve">NHF – Commitment to Refer – Guidance for Housing Associations </w:t>
      </w:r>
    </w:p>
    <w:p w14:paraId="27EC5E36" w14:textId="77777777" w:rsidR="00601B13" w:rsidRPr="00FC01F5" w:rsidRDefault="00601B13" w:rsidP="00601B13">
      <w:pPr>
        <w:pStyle w:val="ListParagraph"/>
        <w:numPr>
          <w:ilvl w:val="0"/>
          <w:numId w:val="5"/>
        </w:numPr>
        <w:spacing w:after="50" w:line="249" w:lineRule="auto"/>
        <w:rPr>
          <w:sz w:val="24"/>
          <w:szCs w:val="24"/>
        </w:rPr>
      </w:pPr>
      <w:r w:rsidRPr="00FC01F5">
        <w:rPr>
          <w:sz w:val="24"/>
          <w:szCs w:val="24"/>
        </w:rPr>
        <w:t xml:space="preserve">Regulator of Social Housing - Regulatory standards, procedures, and guidance </w:t>
      </w:r>
    </w:p>
    <w:p w14:paraId="31E6FA16" w14:textId="77777777" w:rsidR="00601B13" w:rsidRDefault="00601B13" w:rsidP="00601B13">
      <w:pPr>
        <w:pStyle w:val="ListParagraph"/>
        <w:numPr>
          <w:ilvl w:val="0"/>
          <w:numId w:val="5"/>
        </w:numPr>
        <w:spacing w:after="51" w:line="249" w:lineRule="auto"/>
        <w:rPr>
          <w:sz w:val="24"/>
          <w:szCs w:val="24"/>
        </w:rPr>
      </w:pPr>
      <w:r w:rsidRPr="00FC01F5">
        <w:rPr>
          <w:sz w:val="24"/>
          <w:szCs w:val="24"/>
        </w:rPr>
        <w:t xml:space="preserve">Debt Respite Scheme (Breathing Space) </w:t>
      </w:r>
    </w:p>
    <w:p w14:paraId="0708A56E" w14:textId="68F4DBA6" w:rsidR="00630A13" w:rsidRPr="00FC01F5" w:rsidRDefault="00B61868" w:rsidP="00601B13">
      <w:pPr>
        <w:pStyle w:val="ListParagraph"/>
        <w:numPr>
          <w:ilvl w:val="0"/>
          <w:numId w:val="5"/>
        </w:numPr>
        <w:spacing w:after="51" w:line="249" w:lineRule="auto"/>
        <w:rPr>
          <w:sz w:val="24"/>
          <w:szCs w:val="24"/>
        </w:rPr>
      </w:pPr>
      <w:r>
        <w:rPr>
          <w:sz w:val="24"/>
          <w:szCs w:val="24"/>
        </w:rPr>
        <w:t xml:space="preserve">The Mental </w:t>
      </w:r>
      <w:r w:rsidR="00ED3DDC">
        <w:rPr>
          <w:sz w:val="24"/>
          <w:szCs w:val="24"/>
        </w:rPr>
        <w:t xml:space="preserve">Capacity </w:t>
      </w:r>
      <w:r>
        <w:rPr>
          <w:sz w:val="24"/>
          <w:szCs w:val="24"/>
        </w:rPr>
        <w:t>Act 2005</w:t>
      </w:r>
    </w:p>
    <w:p w14:paraId="0514E7E0" w14:textId="77777777" w:rsidR="00601B13" w:rsidRPr="00FC01F5" w:rsidRDefault="00601B13" w:rsidP="00601B13">
      <w:pPr>
        <w:pStyle w:val="ListParagraph"/>
        <w:numPr>
          <w:ilvl w:val="0"/>
          <w:numId w:val="5"/>
        </w:numPr>
        <w:spacing w:after="53" w:line="249" w:lineRule="auto"/>
        <w:rPr>
          <w:sz w:val="24"/>
          <w:szCs w:val="24"/>
        </w:rPr>
      </w:pPr>
      <w:r w:rsidRPr="00FC01F5">
        <w:rPr>
          <w:sz w:val="24"/>
          <w:szCs w:val="24"/>
        </w:rPr>
        <w:t xml:space="preserve">H21 Safeguarding Policy </w:t>
      </w:r>
    </w:p>
    <w:p w14:paraId="1E984967" w14:textId="77777777" w:rsidR="00601B13" w:rsidRDefault="00601B13" w:rsidP="00601B13">
      <w:pPr>
        <w:pStyle w:val="ListParagraph"/>
        <w:numPr>
          <w:ilvl w:val="0"/>
          <w:numId w:val="5"/>
        </w:numPr>
        <w:spacing w:after="52" w:line="249" w:lineRule="auto"/>
        <w:rPr>
          <w:sz w:val="24"/>
          <w:szCs w:val="24"/>
        </w:rPr>
      </w:pPr>
      <w:r w:rsidRPr="00FC01F5">
        <w:rPr>
          <w:sz w:val="24"/>
          <w:szCs w:val="24"/>
        </w:rPr>
        <w:t xml:space="preserve">H21 Complaints and Compliments Policy </w:t>
      </w:r>
    </w:p>
    <w:p w14:paraId="03BCE33E" w14:textId="77777777" w:rsidR="001346F6" w:rsidRPr="00FC01F5" w:rsidRDefault="001346F6" w:rsidP="00A14EB2">
      <w:pPr>
        <w:spacing w:after="4" w:line="251" w:lineRule="auto"/>
        <w:rPr>
          <w:sz w:val="24"/>
          <w:szCs w:val="24"/>
        </w:rPr>
      </w:pPr>
    </w:p>
    <w:p w14:paraId="1BEC7E94" w14:textId="25A6FD79" w:rsidR="00E42F30" w:rsidRDefault="00E42F30" w:rsidP="001346F6">
      <w:pPr>
        <w:spacing w:after="4" w:line="251" w:lineRule="auto"/>
        <w:rPr>
          <w:sz w:val="24"/>
          <w:szCs w:val="24"/>
        </w:rPr>
      </w:pPr>
      <w:r w:rsidRPr="00E42F30">
        <w:rPr>
          <w:sz w:val="24"/>
          <w:szCs w:val="24"/>
        </w:rPr>
        <w:t>The Pre-Action Protocol for Possession Claims by Social Landlords establishes mandatory requirements and best practices that social landlords must adhere to when managing rent arrears and before commencing possession proceedings. It aims to encourage early engagement with tenants to resolve arrears and avoid court action where possible</w:t>
      </w:r>
      <w:r>
        <w:rPr>
          <w:sz w:val="24"/>
          <w:szCs w:val="24"/>
        </w:rPr>
        <w:t>.</w:t>
      </w:r>
    </w:p>
    <w:p w14:paraId="08241D78" w14:textId="77777777" w:rsidR="00E42F30" w:rsidRDefault="00E42F30" w:rsidP="001346F6">
      <w:pPr>
        <w:spacing w:after="4" w:line="251" w:lineRule="auto"/>
        <w:rPr>
          <w:sz w:val="24"/>
          <w:szCs w:val="24"/>
        </w:rPr>
      </w:pPr>
    </w:p>
    <w:p w14:paraId="08A56A55" w14:textId="04E806A4" w:rsidR="001346F6" w:rsidRPr="00FC01F5" w:rsidRDefault="001346F6" w:rsidP="001346F6">
      <w:pPr>
        <w:spacing w:after="4" w:line="251" w:lineRule="auto"/>
        <w:rPr>
          <w:rFonts w:cs="Calibri"/>
          <w:color w:val="000000"/>
          <w:kern w:val="2"/>
          <w:sz w:val="24"/>
          <w:szCs w:val="24"/>
          <w:lang w:eastAsia="en-GB"/>
          <w14:ligatures w14:val="standardContextual"/>
        </w:rPr>
      </w:pPr>
      <w:r w:rsidRPr="00FC01F5">
        <w:rPr>
          <w:rFonts w:cs="Calibri"/>
          <w:color w:val="000000"/>
          <w:kern w:val="2"/>
          <w:sz w:val="24"/>
          <w:szCs w:val="24"/>
          <w:lang w:eastAsia="en-GB"/>
          <w14:ligatures w14:val="standardContextual"/>
        </w:rPr>
        <w:t xml:space="preserve">Whilst registered providers of social housing are not bound by the Duty to Refer under the Homelessness Reduction Act 2017, </w:t>
      </w:r>
      <w:r w:rsidR="00025082" w:rsidRPr="00FC01F5">
        <w:rPr>
          <w:rFonts w:cs="Calibri"/>
          <w:color w:val="000000"/>
          <w:kern w:val="2"/>
          <w:sz w:val="24"/>
          <w:szCs w:val="24"/>
          <w:lang w:eastAsia="en-GB"/>
          <w14:ligatures w14:val="standardContextual"/>
        </w:rPr>
        <w:t>we have</w:t>
      </w:r>
      <w:r w:rsidRPr="00FC01F5">
        <w:rPr>
          <w:rFonts w:cs="Calibri"/>
          <w:color w:val="000000"/>
          <w:kern w:val="2"/>
          <w:sz w:val="24"/>
          <w:szCs w:val="24"/>
          <w:lang w:eastAsia="en-GB"/>
          <w14:ligatures w14:val="standardContextual"/>
        </w:rPr>
        <w:t xml:space="preserve"> adopted the Commitment to Refer best practice guidance. This commitment applies to anyone we consider to be at risk of homelessness which includes residents and those residing in our homes. </w:t>
      </w:r>
    </w:p>
    <w:p w14:paraId="7733E72C" w14:textId="77777777" w:rsidR="001346F6" w:rsidRPr="00FC01F5" w:rsidRDefault="001346F6" w:rsidP="001346F6">
      <w:pPr>
        <w:spacing w:after="4" w:line="251" w:lineRule="auto"/>
        <w:rPr>
          <w:rFonts w:cs="Calibri"/>
          <w:color w:val="000000"/>
          <w:kern w:val="2"/>
          <w:sz w:val="24"/>
          <w:szCs w:val="24"/>
          <w:lang w:eastAsia="en-GB"/>
          <w14:ligatures w14:val="standardContextual"/>
        </w:rPr>
      </w:pPr>
    </w:p>
    <w:p w14:paraId="68EAB144" w14:textId="63D4A2EC" w:rsidR="001346F6" w:rsidRDefault="001346F6" w:rsidP="001346F6">
      <w:pPr>
        <w:spacing w:after="4" w:line="251" w:lineRule="auto"/>
        <w:rPr>
          <w:rFonts w:cs="Calibri"/>
          <w:color w:val="000000"/>
          <w:kern w:val="2"/>
          <w:sz w:val="24"/>
          <w:szCs w:val="24"/>
          <w:lang w:eastAsia="en-GB"/>
          <w14:ligatures w14:val="standardContextual"/>
        </w:rPr>
      </w:pPr>
      <w:r w:rsidRPr="00FC01F5">
        <w:rPr>
          <w:rFonts w:cs="Calibri"/>
          <w:color w:val="000000"/>
          <w:kern w:val="2"/>
          <w:sz w:val="24"/>
          <w:szCs w:val="24"/>
          <w:lang w:eastAsia="en-GB"/>
          <w14:ligatures w14:val="standardContextual"/>
        </w:rPr>
        <w:t xml:space="preserve">This policy also reflects the expectations outlined by the Regulator of Social Housing, regulatory standards, </w:t>
      </w:r>
      <w:r w:rsidR="00025082" w:rsidRPr="00FC01F5">
        <w:rPr>
          <w:rFonts w:cs="Calibri"/>
          <w:color w:val="000000"/>
          <w:kern w:val="2"/>
          <w:sz w:val="24"/>
          <w:szCs w:val="24"/>
          <w:lang w:eastAsia="en-GB"/>
          <w14:ligatures w14:val="standardContextual"/>
        </w:rPr>
        <w:t>procedures,</w:t>
      </w:r>
      <w:r w:rsidRPr="00FC01F5">
        <w:rPr>
          <w:rFonts w:cs="Calibri"/>
          <w:color w:val="000000"/>
          <w:kern w:val="2"/>
          <w:sz w:val="24"/>
          <w:szCs w:val="24"/>
          <w:lang w:eastAsia="en-GB"/>
          <w14:ligatures w14:val="standardContextual"/>
        </w:rPr>
        <w:t xml:space="preserve"> and guidance. </w:t>
      </w:r>
    </w:p>
    <w:p w14:paraId="75FC48F6" w14:textId="77777777" w:rsidR="00B57F48" w:rsidRPr="00DD115E" w:rsidRDefault="00B57F48" w:rsidP="00B57F48">
      <w:pPr>
        <w:pStyle w:val="Heading1"/>
      </w:pPr>
      <w:bookmarkStart w:id="3" w:name="_Toc184985239"/>
      <w:r w:rsidRPr="00DD115E">
        <w:t xml:space="preserve">Equality, </w:t>
      </w:r>
      <w:r w:rsidRPr="00A94323">
        <w:t>Diversity</w:t>
      </w:r>
      <w:r w:rsidRPr="00DD115E">
        <w:t xml:space="preserve"> and Inclusion</w:t>
      </w:r>
      <w:bookmarkEnd w:id="3"/>
      <w:r w:rsidRPr="00DD115E">
        <w:t xml:space="preserve"> </w:t>
      </w:r>
    </w:p>
    <w:p w14:paraId="6A87FC47" w14:textId="227DAC8F" w:rsidR="00B57F48" w:rsidRPr="00D67DBC" w:rsidRDefault="00B57F48" w:rsidP="00B57F48">
      <w:pPr>
        <w:rPr>
          <w:sz w:val="24"/>
          <w:szCs w:val="24"/>
        </w:rPr>
      </w:pPr>
      <w:r w:rsidRPr="05F05E5F">
        <w:rPr>
          <w:rFonts w:asciiTheme="minorHAnsi" w:hAnsiTheme="minorHAnsi" w:cstheme="minorBidi"/>
          <w:sz w:val="24"/>
          <w:szCs w:val="24"/>
        </w:rPr>
        <w:t>Housing 21 aspires to embed diversity and inclusion within all our organisational activities to enable these principles to become part of our everyday processes.</w:t>
      </w:r>
      <w:r w:rsidRPr="05F05E5F">
        <w:rPr>
          <w:sz w:val="24"/>
          <w:szCs w:val="24"/>
        </w:rPr>
        <w:t xml:space="preserve"> We will make reasonable adjustments to the policy to recognise, accommodate and support individual needs, where needed</w:t>
      </w:r>
      <w:r w:rsidR="4A68CCC6" w:rsidRPr="05F05E5F">
        <w:rPr>
          <w:sz w:val="24"/>
          <w:szCs w:val="24"/>
        </w:rPr>
        <w:t>.</w:t>
      </w:r>
      <w:r w:rsidRPr="05F05E5F">
        <w:rPr>
          <w:sz w:val="24"/>
          <w:szCs w:val="24"/>
        </w:rPr>
        <w:t xml:space="preserve"> </w:t>
      </w:r>
      <w:r w:rsidR="49351F70" w:rsidRPr="05F05E5F">
        <w:rPr>
          <w:sz w:val="24"/>
          <w:szCs w:val="24"/>
        </w:rPr>
        <w:t>W</w:t>
      </w:r>
      <w:r w:rsidRPr="05F05E5F">
        <w:rPr>
          <w:sz w:val="24"/>
          <w:szCs w:val="24"/>
        </w:rPr>
        <w:t xml:space="preserve">e will take a proactive approach so that no individual group is discriminated against or treated differently as a direct or indirect result of this policy. </w:t>
      </w:r>
    </w:p>
    <w:p w14:paraId="7DE613D2" w14:textId="104B683B" w:rsidR="00B57F48" w:rsidRPr="00D67DBC" w:rsidRDefault="009F17BD" w:rsidP="00B57F48">
      <w:pPr>
        <w:rPr>
          <w:sz w:val="24"/>
          <w:szCs w:val="24"/>
        </w:rPr>
      </w:pPr>
      <w:r>
        <w:rPr>
          <w:sz w:val="24"/>
          <w:szCs w:val="24"/>
        </w:rPr>
        <w:t xml:space="preserve">Scheme </w:t>
      </w:r>
      <w:r w:rsidR="00B57F48" w:rsidRPr="00D67DBC">
        <w:rPr>
          <w:sz w:val="24"/>
          <w:szCs w:val="24"/>
        </w:rPr>
        <w:t xml:space="preserve">managers are responsible for managing the culture on the schemes and ensuring that diversity is respected. All managers are briefed on diversity and inclusion.  </w:t>
      </w:r>
    </w:p>
    <w:p w14:paraId="7E934BEE" w14:textId="77777777" w:rsidR="00B57F48" w:rsidRDefault="00B57F48" w:rsidP="00B57F48">
      <w:pPr>
        <w:rPr>
          <w:sz w:val="24"/>
          <w:szCs w:val="24"/>
        </w:rPr>
      </w:pPr>
      <w:r w:rsidRPr="00FC01F5">
        <w:rPr>
          <w:sz w:val="24"/>
          <w:szCs w:val="24"/>
        </w:rPr>
        <w:t xml:space="preserve">We will monitor action taken to tackle arrears to ensure that </w:t>
      </w:r>
      <w:r>
        <w:rPr>
          <w:sz w:val="24"/>
          <w:szCs w:val="24"/>
        </w:rPr>
        <w:t>t</w:t>
      </w:r>
      <w:r w:rsidRPr="00FC01F5">
        <w:rPr>
          <w:sz w:val="24"/>
          <w:szCs w:val="24"/>
        </w:rPr>
        <w:t xml:space="preserve">here is no adverse impact as a result of implementation of this policy. </w:t>
      </w:r>
    </w:p>
    <w:p w14:paraId="70A63BEC" w14:textId="696E179A" w:rsidR="005472E0" w:rsidRPr="00DD115E" w:rsidRDefault="005472E0" w:rsidP="005472E0">
      <w:pPr>
        <w:pStyle w:val="Heading1"/>
      </w:pPr>
      <w:bookmarkStart w:id="4" w:name="_Toc184985240"/>
      <w:r w:rsidRPr="00DD115E">
        <w:t xml:space="preserve">Key </w:t>
      </w:r>
      <w:r w:rsidRPr="00A94323">
        <w:t>Principles</w:t>
      </w:r>
      <w:bookmarkEnd w:id="4"/>
      <w:r w:rsidRPr="00DD115E">
        <w:t xml:space="preserve"> </w:t>
      </w:r>
    </w:p>
    <w:p w14:paraId="6B2386D8" w14:textId="4A51B94C" w:rsidR="00DA09D9" w:rsidRPr="007E0464" w:rsidRDefault="00DA09D9" w:rsidP="00DA09D9">
      <w:pPr>
        <w:spacing w:after="4" w:line="251" w:lineRule="auto"/>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 xml:space="preserve">The aim of this policy is to ensure that all </w:t>
      </w:r>
      <w:r w:rsidR="00025082" w:rsidRPr="007E0464">
        <w:rPr>
          <w:rFonts w:cs="Calibri"/>
          <w:color w:val="000000"/>
          <w:kern w:val="2"/>
          <w:sz w:val="24"/>
          <w:szCs w:val="24"/>
          <w:lang w:eastAsia="en-GB"/>
          <w14:ligatures w14:val="standardContextual"/>
        </w:rPr>
        <w:t xml:space="preserve">our </w:t>
      </w:r>
      <w:r w:rsidRPr="007E0464">
        <w:rPr>
          <w:rFonts w:cs="Calibri"/>
          <w:color w:val="000000"/>
          <w:kern w:val="2"/>
          <w:sz w:val="24"/>
          <w:szCs w:val="24"/>
          <w:lang w:eastAsia="en-GB"/>
          <w14:ligatures w14:val="standardContextual"/>
        </w:rPr>
        <w:t xml:space="preserve">employees work effectively </w:t>
      </w:r>
      <w:r w:rsidR="0011715B" w:rsidRPr="007E0464">
        <w:rPr>
          <w:rFonts w:cs="Calibri"/>
          <w:color w:val="000000"/>
          <w:kern w:val="2"/>
          <w:sz w:val="24"/>
          <w:szCs w:val="24"/>
          <w:lang w:eastAsia="en-GB"/>
          <w14:ligatures w14:val="standardContextual"/>
        </w:rPr>
        <w:t xml:space="preserve">and consistently </w:t>
      </w:r>
      <w:r w:rsidRPr="007E0464">
        <w:rPr>
          <w:rFonts w:cs="Calibri"/>
          <w:color w:val="000000"/>
          <w:kern w:val="2"/>
          <w:sz w:val="24"/>
          <w:szCs w:val="24"/>
          <w:lang w:eastAsia="en-GB"/>
          <w14:ligatures w14:val="standardContextual"/>
        </w:rPr>
        <w:t xml:space="preserve">to </w:t>
      </w:r>
      <w:r w:rsidR="006C01C3" w:rsidRPr="007E0464">
        <w:rPr>
          <w:rFonts w:cs="Calibri"/>
          <w:color w:val="000000"/>
          <w:kern w:val="2"/>
          <w:sz w:val="24"/>
          <w:szCs w:val="24"/>
          <w:lang w:eastAsia="en-GB"/>
          <w14:ligatures w14:val="standardContextual"/>
        </w:rPr>
        <w:t xml:space="preserve">minimise </w:t>
      </w:r>
      <w:r w:rsidRPr="007E0464">
        <w:rPr>
          <w:rFonts w:cs="Calibri"/>
          <w:color w:val="000000"/>
          <w:kern w:val="2"/>
          <w:sz w:val="24"/>
          <w:szCs w:val="24"/>
          <w:lang w:eastAsia="en-GB"/>
          <w14:ligatures w14:val="standardContextual"/>
        </w:rPr>
        <w:t>rent and service charge arrears</w:t>
      </w:r>
      <w:r w:rsidR="00FE046D" w:rsidRPr="007E0464">
        <w:rPr>
          <w:rFonts w:cs="Calibri"/>
          <w:color w:val="000000"/>
          <w:kern w:val="2"/>
          <w:sz w:val="24"/>
          <w:szCs w:val="24"/>
          <w:lang w:eastAsia="en-GB"/>
          <w14:ligatures w14:val="standardContextual"/>
        </w:rPr>
        <w:t xml:space="preserve"> and that residents are treated fairly</w:t>
      </w:r>
      <w:r w:rsidR="006C01C3" w:rsidRPr="007E0464">
        <w:rPr>
          <w:rFonts w:cs="Calibri"/>
          <w:color w:val="000000"/>
          <w:kern w:val="2"/>
          <w:sz w:val="24"/>
          <w:szCs w:val="24"/>
          <w:lang w:eastAsia="en-GB"/>
          <w14:ligatures w14:val="standardContextual"/>
        </w:rPr>
        <w:t>.</w:t>
      </w:r>
      <w:r w:rsidRPr="007E0464">
        <w:rPr>
          <w:rFonts w:cs="Calibri"/>
          <w:color w:val="000000"/>
          <w:kern w:val="2"/>
          <w:sz w:val="24"/>
          <w:szCs w:val="24"/>
          <w:lang w:eastAsia="en-GB"/>
          <w14:ligatures w14:val="standardContextual"/>
        </w:rPr>
        <w:t xml:space="preserve"> </w:t>
      </w:r>
      <w:r w:rsidR="00C20BAF" w:rsidRPr="007E0464">
        <w:rPr>
          <w:rFonts w:cs="Calibri"/>
          <w:color w:val="000000"/>
          <w:kern w:val="2"/>
          <w:sz w:val="24"/>
          <w:szCs w:val="24"/>
          <w:lang w:eastAsia="en-GB"/>
          <w14:ligatures w14:val="standardContextual"/>
        </w:rPr>
        <w:t>We will</w:t>
      </w:r>
      <w:r w:rsidR="009259BF">
        <w:rPr>
          <w:rFonts w:cs="Calibri"/>
          <w:color w:val="000000"/>
          <w:kern w:val="2"/>
          <w:sz w:val="24"/>
          <w:szCs w:val="24"/>
          <w:lang w:eastAsia="en-GB"/>
          <w14:ligatures w14:val="standardContextual"/>
        </w:rPr>
        <w:t>:</w:t>
      </w:r>
      <w:r w:rsidR="00C20BAF" w:rsidRPr="007E0464">
        <w:rPr>
          <w:rFonts w:cs="Calibri"/>
          <w:color w:val="000000"/>
          <w:kern w:val="2"/>
          <w:sz w:val="24"/>
          <w:szCs w:val="24"/>
          <w:lang w:eastAsia="en-GB"/>
          <w14:ligatures w14:val="standardContextual"/>
        </w:rPr>
        <w:t xml:space="preserve"> </w:t>
      </w:r>
    </w:p>
    <w:p w14:paraId="4CF8EF26" w14:textId="77777777" w:rsidR="00DA09D9" w:rsidRPr="007E0464" w:rsidRDefault="00DA09D9" w:rsidP="00DA09D9">
      <w:pPr>
        <w:spacing w:after="58" w:line="259" w:lineRule="auto"/>
        <w:ind w:left="924"/>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 xml:space="preserve"> </w:t>
      </w:r>
    </w:p>
    <w:p w14:paraId="4E50568D" w14:textId="3C3E8029" w:rsidR="0090289A" w:rsidRPr="007E0464" w:rsidRDefault="004D7D46" w:rsidP="00DA09D9">
      <w:pPr>
        <w:pStyle w:val="ListParagraph"/>
        <w:numPr>
          <w:ilvl w:val="0"/>
          <w:numId w:val="1"/>
        </w:numPr>
        <w:spacing w:after="68" w:line="251" w:lineRule="auto"/>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Promot</w:t>
      </w:r>
      <w:r w:rsidR="00C20BAF" w:rsidRPr="007E0464">
        <w:rPr>
          <w:rFonts w:cs="Calibri"/>
          <w:color w:val="000000"/>
          <w:kern w:val="2"/>
          <w:sz w:val="24"/>
          <w:szCs w:val="24"/>
          <w:lang w:eastAsia="en-GB"/>
          <w14:ligatures w14:val="standardContextual"/>
        </w:rPr>
        <w:t>e</w:t>
      </w:r>
      <w:r w:rsidRPr="007E0464">
        <w:rPr>
          <w:rFonts w:cs="Calibri"/>
          <w:color w:val="000000"/>
          <w:kern w:val="2"/>
          <w:sz w:val="24"/>
          <w:szCs w:val="24"/>
          <w:lang w:eastAsia="en-GB"/>
          <w14:ligatures w14:val="standardContextual"/>
        </w:rPr>
        <w:t xml:space="preserve"> a payment culture, adopting a </w:t>
      </w:r>
      <w:r w:rsidR="25A7CFEA" w:rsidRPr="007E0464">
        <w:rPr>
          <w:rFonts w:cs="Calibri"/>
          <w:color w:val="000000"/>
          <w:kern w:val="2"/>
          <w:sz w:val="24"/>
          <w:szCs w:val="24"/>
          <w:lang w:eastAsia="en-GB"/>
          <w14:ligatures w14:val="standardContextual"/>
        </w:rPr>
        <w:t>‘</w:t>
      </w:r>
      <w:r w:rsidR="0043082A" w:rsidRPr="007E0464">
        <w:rPr>
          <w:rFonts w:cs="Calibri"/>
          <w:color w:val="000000"/>
          <w:kern w:val="2"/>
          <w:sz w:val="24"/>
          <w:szCs w:val="24"/>
          <w:lang w:eastAsia="en-GB"/>
          <w14:ligatures w14:val="standardContextual"/>
        </w:rPr>
        <w:t>C</w:t>
      </w:r>
      <w:r w:rsidRPr="007E0464">
        <w:rPr>
          <w:rFonts w:cs="Calibri"/>
          <w:color w:val="000000"/>
          <w:kern w:val="2"/>
          <w:sz w:val="24"/>
          <w:szCs w:val="24"/>
          <w:lang w:eastAsia="en-GB"/>
          <w14:ligatures w14:val="standardContextual"/>
        </w:rPr>
        <w:t xml:space="preserve">ollect with </w:t>
      </w:r>
      <w:r w:rsidR="0043082A" w:rsidRPr="007E0464">
        <w:rPr>
          <w:rFonts w:cs="Calibri"/>
          <w:color w:val="000000"/>
          <w:kern w:val="2"/>
          <w:sz w:val="24"/>
          <w:szCs w:val="24"/>
          <w:lang w:eastAsia="en-GB"/>
          <w14:ligatures w14:val="standardContextual"/>
        </w:rPr>
        <w:t>C</w:t>
      </w:r>
      <w:r w:rsidRPr="007E0464">
        <w:rPr>
          <w:rFonts w:cs="Calibri"/>
          <w:color w:val="000000"/>
          <w:kern w:val="2"/>
          <w:sz w:val="24"/>
          <w:szCs w:val="24"/>
          <w:lang w:eastAsia="en-GB"/>
          <w14:ligatures w14:val="standardContextual"/>
        </w:rPr>
        <w:t>are</w:t>
      </w:r>
      <w:r w:rsidR="6D16E12B" w:rsidRPr="007E0464">
        <w:rPr>
          <w:rFonts w:cs="Calibri"/>
          <w:color w:val="000000"/>
          <w:kern w:val="2"/>
          <w:sz w:val="24"/>
          <w:szCs w:val="24"/>
          <w:lang w:eastAsia="en-GB"/>
          <w14:ligatures w14:val="standardContextual"/>
        </w:rPr>
        <w:t>’</w:t>
      </w:r>
      <w:r w:rsidRPr="007E0464">
        <w:rPr>
          <w:rFonts w:cs="Calibri"/>
          <w:color w:val="000000"/>
          <w:kern w:val="2"/>
          <w:sz w:val="24"/>
          <w:szCs w:val="24"/>
          <w:lang w:eastAsia="en-GB"/>
          <w14:ligatures w14:val="standardContextual"/>
        </w:rPr>
        <w:t xml:space="preserve"> </w:t>
      </w:r>
      <w:r w:rsidR="6D16E12B" w:rsidRPr="007E0464">
        <w:rPr>
          <w:rFonts w:cs="Calibri"/>
          <w:color w:val="000000"/>
          <w:kern w:val="2"/>
          <w:sz w:val="24"/>
          <w:szCs w:val="24"/>
          <w:lang w:eastAsia="en-GB"/>
          <w14:ligatures w14:val="standardContextual"/>
        </w:rPr>
        <w:t>a</w:t>
      </w:r>
      <w:r w:rsidRPr="007E0464">
        <w:rPr>
          <w:rFonts w:cs="Calibri"/>
          <w:color w:val="000000"/>
          <w:kern w:val="2"/>
          <w:sz w:val="24"/>
          <w:szCs w:val="24"/>
          <w:lang w:eastAsia="en-GB"/>
          <w14:ligatures w14:val="standardContextual"/>
        </w:rPr>
        <w:t>pproach</w:t>
      </w:r>
      <w:r w:rsidR="0043082A" w:rsidRPr="007E0464">
        <w:rPr>
          <w:rFonts w:cs="Calibri"/>
          <w:color w:val="000000"/>
          <w:kern w:val="2"/>
          <w:sz w:val="24"/>
          <w:szCs w:val="24"/>
          <w:lang w:eastAsia="en-GB"/>
          <w14:ligatures w14:val="standardContextual"/>
        </w:rPr>
        <w:t>.</w:t>
      </w:r>
    </w:p>
    <w:p w14:paraId="05DC54DA" w14:textId="3D67EC83" w:rsidR="00642EC4" w:rsidRPr="007E0464" w:rsidRDefault="00594316" w:rsidP="00097537">
      <w:pPr>
        <w:pStyle w:val="ListParagraph"/>
        <w:numPr>
          <w:ilvl w:val="0"/>
          <w:numId w:val="1"/>
        </w:numPr>
        <w:spacing w:after="68" w:line="251" w:lineRule="auto"/>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 xml:space="preserve">Comply </w:t>
      </w:r>
      <w:r w:rsidR="00642EC4" w:rsidRPr="007E0464">
        <w:rPr>
          <w:rFonts w:cs="Calibri"/>
          <w:color w:val="000000"/>
          <w:kern w:val="2"/>
          <w:sz w:val="24"/>
          <w:szCs w:val="24"/>
          <w:lang w:eastAsia="en-GB"/>
          <w14:ligatures w14:val="standardContextual"/>
        </w:rPr>
        <w:t xml:space="preserve">with all current regulatory and legal requirements when </w:t>
      </w:r>
      <w:proofErr w:type="gramStart"/>
      <w:r w:rsidR="00642EC4" w:rsidRPr="007E0464">
        <w:rPr>
          <w:rFonts w:cs="Calibri"/>
          <w:color w:val="000000"/>
          <w:kern w:val="2"/>
          <w:sz w:val="24"/>
          <w:szCs w:val="24"/>
          <w:lang w:eastAsia="en-GB"/>
          <w14:ligatures w14:val="standardContextual"/>
        </w:rPr>
        <w:t>taking action</w:t>
      </w:r>
      <w:proofErr w:type="gramEnd"/>
      <w:r w:rsidR="00642EC4" w:rsidRPr="007E0464">
        <w:rPr>
          <w:rFonts w:cs="Calibri"/>
          <w:color w:val="000000"/>
          <w:kern w:val="2"/>
          <w:sz w:val="24"/>
          <w:szCs w:val="24"/>
          <w:lang w:eastAsia="en-GB"/>
          <w14:ligatures w14:val="standardContextual"/>
        </w:rPr>
        <w:t xml:space="preserve"> and managing arrears</w:t>
      </w:r>
      <w:r w:rsidR="003631E1" w:rsidRPr="007E0464">
        <w:rPr>
          <w:rFonts w:cs="Calibri"/>
          <w:color w:val="000000"/>
          <w:kern w:val="2"/>
          <w:sz w:val="24"/>
          <w:szCs w:val="24"/>
          <w:lang w:eastAsia="en-GB"/>
          <w14:ligatures w14:val="standardContextual"/>
        </w:rPr>
        <w:t>.</w:t>
      </w:r>
      <w:r w:rsidR="00642EC4" w:rsidRPr="007E0464">
        <w:rPr>
          <w:rFonts w:cs="Calibri"/>
          <w:color w:val="000000"/>
          <w:kern w:val="2"/>
          <w:sz w:val="24"/>
          <w:szCs w:val="24"/>
          <w:lang w:eastAsia="en-GB"/>
          <w14:ligatures w14:val="standardContextual"/>
        </w:rPr>
        <w:t xml:space="preserve"> </w:t>
      </w:r>
    </w:p>
    <w:p w14:paraId="6BAE4B70" w14:textId="26339FB6" w:rsidR="00514209" w:rsidRPr="007E0464" w:rsidRDefault="00514209" w:rsidP="00097537">
      <w:pPr>
        <w:pStyle w:val="ListParagraph"/>
        <w:numPr>
          <w:ilvl w:val="0"/>
          <w:numId w:val="1"/>
        </w:numPr>
        <w:spacing w:after="68" w:line="251" w:lineRule="auto"/>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Ensur</w:t>
      </w:r>
      <w:r w:rsidR="00642EC4" w:rsidRPr="007E0464">
        <w:rPr>
          <w:rFonts w:cs="Calibri"/>
          <w:color w:val="000000"/>
          <w:kern w:val="2"/>
          <w:sz w:val="24"/>
          <w:szCs w:val="24"/>
          <w:lang w:eastAsia="en-GB"/>
          <w14:ligatures w14:val="standardContextual"/>
        </w:rPr>
        <w:t>e</w:t>
      </w:r>
      <w:r w:rsidRPr="007E0464">
        <w:rPr>
          <w:rFonts w:cs="Calibri"/>
          <w:color w:val="000000"/>
          <w:kern w:val="2"/>
          <w:sz w:val="24"/>
          <w:szCs w:val="24"/>
          <w:lang w:eastAsia="en-GB"/>
          <w14:ligatures w14:val="standardContextual"/>
        </w:rPr>
        <w:t xml:space="preserve"> residents are fully aware of their responsibilities for paying rent and other charges </w:t>
      </w:r>
      <w:r w:rsidR="00462DE0" w:rsidRPr="007E0464">
        <w:rPr>
          <w:rFonts w:cs="Calibri"/>
          <w:color w:val="000000"/>
          <w:kern w:val="2"/>
          <w:sz w:val="24"/>
          <w:szCs w:val="24"/>
          <w:lang w:eastAsia="en-GB"/>
          <w14:ligatures w14:val="standardContextual"/>
        </w:rPr>
        <w:t>at the start of their tenancy</w:t>
      </w:r>
      <w:r w:rsidRPr="007E0464">
        <w:rPr>
          <w:rFonts w:cs="Calibri"/>
          <w:color w:val="000000"/>
          <w:kern w:val="2"/>
          <w:sz w:val="24"/>
          <w:szCs w:val="24"/>
          <w:lang w:eastAsia="en-GB"/>
          <w14:ligatures w14:val="standardContextual"/>
        </w:rPr>
        <w:t xml:space="preserve">. </w:t>
      </w:r>
    </w:p>
    <w:p w14:paraId="23FEC181" w14:textId="1FB34442" w:rsidR="007E2430" w:rsidRPr="007E0464" w:rsidRDefault="009431D7" w:rsidP="00DA09D9">
      <w:pPr>
        <w:pStyle w:val="ListParagraph"/>
        <w:numPr>
          <w:ilvl w:val="0"/>
          <w:numId w:val="1"/>
        </w:numPr>
        <w:spacing w:after="68" w:line="251" w:lineRule="auto"/>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S</w:t>
      </w:r>
      <w:r w:rsidR="00EE71C6" w:rsidRPr="007E0464">
        <w:rPr>
          <w:rFonts w:cs="Calibri"/>
          <w:color w:val="000000"/>
          <w:kern w:val="2"/>
          <w:sz w:val="24"/>
          <w:szCs w:val="24"/>
          <w:lang w:eastAsia="en-GB"/>
          <w14:ligatures w14:val="standardContextual"/>
        </w:rPr>
        <w:t xml:space="preserve">upport </w:t>
      </w:r>
      <w:r w:rsidR="004D7D46" w:rsidRPr="007E0464">
        <w:rPr>
          <w:rFonts w:cs="Calibri"/>
          <w:color w:val="000000"/>
          <w:kern w:val="2"/>
          <w:sz w:val="24"/>
          <w:szCs w:val="24"/>
          <w:lang w:eastAsia="en-GB"/>
          <w14:ligatures w14:val="standardContextual"/>
        </w:rPr>
        <w:t>residents to prevent arrears developing</w:t>
      </w:r>
      <w:r w:rsidR="00EE71C6" w:rsidRPr="007E0464">
        <w:rPr>
          <w:rFonts w:cs="Calibri"/>
          <w:color w:val="000000"/>
          <w:kern w:val="2"/>
          <w:sz w:val="24"/>
          <w:szCs w:val="24"/>
          <w:lang w:eastAsia="en-GB"/>
          <w14:ligatures w14:val="standardContextual"/>
        </w:rPr>
        <w:t xml:space="preserve"> or increasing</w:t>
      </w:r>
      <w:r w:rsidR="00CD6792" w:rsidRPr="007E0464">
        <w:rPr>
          <w:rFonts w:cs="Calibri"/>
          <w:color w:val="000000"/>
          <w:kern w:val="2"/>
          <w:sz w:val="24"/>
          <w:szCs w:val="24"/>
          <w:lang w:eastAsia="en-GB"/>
          <w14:ligatures w14:val="standardContextual"/>
        </w:rPr>
        <w:t>, maintain</w:t>
      </w:r>
      <w:r w:rsidR="00FB37D3" w:rsidRPr="007E0464">
        <w:rPr>
          <w:rFonts w:cs="Calibri"/>
          <w:color w:val="000000"/>
          <w:kern w:val="2"/>
          <w:sz w:val="24"/>
          <w:szCs w:val="24"/>
          <w:lang w:eastAsia="en-GB"/>
          <w14:ligatures w14:val="standardContextual"/>
        </w:rPr>
        <w:t>ing</w:t>
      </w:r>
      <w:r w:rsidR="00062471" w:rsidRPr="007E0464">
        <w:rPr>
          <w:rFonts w:cs="Calibri"/>
          <w:color w:val="000000"/>
          <w:kern w:val="2"/>
          <w:sz w:val="24"/>
          <w:szCs w:val="24"/>
          <w:lang w:eastAsia="en-GB"/>
          <w14:ligatures w14:val="standardContextual"/>
        </w:rPr>
        <w:t xml:space="preserve"> regular contact and </w:t>
      </w:r>
      <w:r w:rsidR="007E2430" w:rsidRPr="007E0464">
        <w:rPr>
          <w:rFonts w:cs="Calibri"/>
          <w:color w:val="000000"/>
          <w:kern w:val="2"/>
          <w:sz w:val="24"/>
          <w:szCs w:val="24"/>
          <w:lang w:eastAsia="en-GB"/>
          <w14:ligatures w14:val="standardContextual"/>
        </w:rPr>
        <w:t xml:space="preserve">prioritising </w:t>
      </w:r>
      <w:r w:rsidR="0054508A" w:rsidRPr="007E0464">
        <w:rPr>
          <w:rFonts w:cs="Calibri"/>
          <w:color w:val="000000"/>
          <w:kern w:val="2"/>
          <w:sz w:val="24"/>
          <w:szCs w:val="24"/>
          <w:lang w:eastAsia="en-GB"/>
          <w14:ligatures w14:val="standardContextual"/>
        </w:rPr>
        <w:t>e</w:t>
      </w:r>
      <w:r w:rsidR="006B63CB" w:rsidRPr="007E0464">
        <w:rPr>
          <w:rFonts w:cs="Calibri"/>
          <w:color w:val="000000"/>
          <w:kern w:val="2"/>
          <w:sz w:val="24"/>
          <w:szCs w:val="24"/>
          <w:lang w:eastAsia="en-GB"/>
          <w14:ligatures w14:val="standardContextual"/>
        </w:rPr>
        <w:t>a</w:t>
      </w:r>
      <w:r w:rsidR="0054508A" w:rsidRPr="007E0464">
        <w:rPr>
          <w:rFonts w:cs="Calibri"/>
          <w:color w:val="000000"/>
          <w:kern w:val="2"/>
          <w:sz w:val="24"/>
          <w:szCs w:val="24"/>
          <w:lang w:eastAsia="en-GB"/>
          <w14:ligatures w14:val="standardContextual"/>
        </w:rPr>
        <w:t xml:space="preserve">rly intervention </w:t>
      </w:r>
      <w:r w:rsidR="006B63CB" w:rsidRPr="007E0464">
        <w:rPr>
          <w:rFonts w:cs="Calibri"/>
          <w:color w:val="000000"/>
          <w:kern w:val="2"/>
          <w:sz w:val="24"/>
          <w:szCs w:val="24"/>
          <w:lang w:eastAsia="en-GB"/>
          <w14:ligatures w14:val="standardContextual"/>
        </w:rPr>
        <w:t>action</w:t>
      </w:r>
      <w:r w:rsidR="00807733" w:rsidRPr="007E0464">
        <w:rPr>
          <w:rFonts w:cs="Calibri"/>
          <w:color w:val="000000"/>
          <w:kern w:val="2"/>
          <w:sz w:val="24"/>
          <w:szCs w:val="24"/>
          <w:lang w:eastAsia="en-GB"/>
          <w14:ligatures w14:val="standardContextual"/>
        </w:rPr>
        <w:t>.</w:t>
      </w:r>
    </w:p>
    <w:p w14:paraId="2B3DC9A4" w14:textId="1AFD23FF" w:rsidR="004D7D46" w:rsidRPr="007E0464" w:rsidRDefault="004C1627" w:rsidP="00DA09D9">
      <w:pPr>
        <w:pStyle w:val="ListParagraph"/>
        <w:numPr>
          <w:ilvl w:val="0"/>
          <w:numId w:val="1"/>
        </w:numPr>
        <w:spacing w:after="68" w:line="251" w:lineRule="auto"/>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S</w:t>
      </w:r>
      <w:r w:rsidR="00125D09" w:rsidRPr="007E0464">
        <w:rPr>
          <w:rFonts w:cs="Calibri"/>
          <w:color w:val="000000"/>
          <w:kern w:val="2"/>
          <w:sz w:val="24"/>
          <w:szCs w:val="24"/>
          <w:lang w:eastAsia="en-GB"/>
          <w14:ligatures w14:val="standardContextual"/>
        </w:rPr>
        <w:t xml:space="preserve">upport </w:t>
      </w:r>
      <w:r w:rsidR="006703ED" w:rsidRPr="007E0464">
        <w:rPr>
          <w:rFonts w:cs="Calibri"/>
          <w:color w:val="000000"/>
          <w:kern w:val="2"/>
          <w:sz w:val="24"/>
          <w:szCs w:val="24"/>
          <w:lang w:eastAsia="en-GB"/>
          <w14:ligatures w14:val="standardContextual"/>
        </w:rPr>
        <w:t xml:space="preserve">residents </w:t>
      </w:r>
      <w:r w:rsidR="004D7D46" w:rsidRPr="007E0464">
        <w:rPr>
          <w:rFonts w:cs="Calibri"/>
          <w:color w:val="000000"/>
          <w:kern w:val="2"/>
          <w:sz w:val="24"/>
          <w:szCs w:val="24"/>
          <w:lang w:eastAsia="en-GB"/>
          <w14:ligatures w14:val="standardContextual"/>
        </w:rPr>
        <w:t>to maximise their income</w:t>
      </w:r>
      <w:r w:rsidR="1132A7EA" w:rsidRPr="007E0464">
        <w:rPr>
          <w:rFonts w:cs="Calibri"/>
          <w:color w:val="000000"/>
          <w:kern w:val="2"/>
          <w:sz w:val="24"/>
          <w:szCs w:val="24"/>
          <w:lang w:eastAsia="en-GB"/>
          <w14:ligatures w14:val="standardContextual"/>
        </w:rPr>
        <w:t>,</w:t>
      </w:r>
      <w:r w:rsidR="004D7D46" w:rsidRPr="007E0464">
        <w:rPr>
          <w:rFonts w:cs="Calibri"/>
          <w:color w:val="000000"/>
          <w:kern w:val="2"/>
          <w:sz w:val="24"/>
          <w:szCs w:val="24"/>
          <w:lang w:eastAsia="en-GB"/>
          <w14:ligatures w14:val="standardContextual"/>
        </w:rPr>
        <w:t xml:space="preserve"> </w:t>
      </w:r>
      <w:r w:rsidR="00907436" w:rsidRPr="007E0464">
        <w:rPr>
          <w:rFonts w:cs="Calibri"/>
          <w:color w:val="000000"/>
          <w:kern w:val="2"/>
          <w:sz w:val="24"/>
          <w:szCs w:val="24"/>
          <w:lang w:eastAsia="en-GB"/>
          <w14:ligatures w14:val="standardContextual"/>
        </w:rPr>
        <w:t xml:space="preserve">with </w:t>
      </w:r>
      <w:r w:rsidR="004D7D46" w:rsidRPr="007E0464">
        <w:rPr>
          <w:rFonts w:cs="Calibri"/>
          <w:color w:val="000000"/>
          <w:kern w:val="2"/>
          <w:sz w:val="24"/>
          <w:szCs w:val="24"/>
          <w:lang w:eastAsia="en-GB"/>
          <w14:ligatures w14:val="standardContextual"/>
        </w:rPr>
        <w:t xml:space="preserve">scheme managers </w:t>
      </w:r>
      <w:r w:rsidR="001119AF" w:rsidRPr="007E0464">
        <w:rPr>
          <w:rFonts w:cs="Calibri"/>
          <w:color w:val="000000"/>
          <w:kern w:val="2"/>
          <w:sz w:val="24"/>
          <w:szCs w:val="24"/>
          <w:lang w:eastAsia="en-GB"/>
          <w14:ligatures w14:val="standardContextual"/>
        </w:rPr>
        <w:t xml:space="preserve">working in partnership </w:t>
      </w:r>
      <w:r w:rsidR="004D7D46" w:rsidRPr="007E0464">
        <w:rPr>
          <w:rFonts w:cs="Calibri"/>
          <w:color w:val="000000"/>
          <w:kern w:val="2"/>
          <w:sz w:val="24"/>
          <w:szCs w:val="24"/>
          <w:lang w:eastAsia="en-GB"/>
          <w14:ligatures w14:val="standardContextual"/>
        </w:rPr>
        <w:t>with relevant local agencies</w:t>
      </w:r>
      <w:r w:rsidR="008827A6" w:rsidRPr="007E0464">
        <w:rPr>
          <w:rFonts w:cs="Calibri"/>
          <w:color w:val="000000"/>
          <w:kern w:val="2"/>
          <w:sz w:val="24"/>
          <w:szCs w:val="24"/>
          <w:lang w:eastAsia="en-GB"/>
          <w14:ligatures w14:val="standardContextual"/>
        </w:rPr>
        <w:t xml:space="preserve"> to provide benefits advice and </w:t>
      </w:r>
      <w:r w:rsidR="00A65250" w:rsidRPr="007E0464">
        <w:rPr>
          <w:rFonts w:cs="Calibri"/>
          <w:color w:val="000000"/>
          <w:kern w:val="2"/>
          <w:sz w:val="24"/>
          <w:szCs w:val="24"/>
          <w:lang w:eastAsia="en-GB"/>
          <w14:ligatures w14:val="standardContextual"/>
        </w:rPr>
        <w:t>guidance</w:t>
      </w:r>
      <w:r w:rsidR="004D7D46" w:rsidRPr="007E0464">
        <w:rPr>
          <w:rFonts w:cs="Calibri"/>
          <w:color w:val="000000"/>
          <w:kern w:val="2"/>
          <w:sz w:val="24"/>
          <w:szCs w:val="24"/>
          <w:lang w:eastAsia="en-GB"/>
          <w14:ligatures w14:val="standardContextual"/>
        </w:rPr>
        <w:t>.</w:t>
      </w:r>
    </w:p>
    <w:p w14:paraId="7DD91EE6" w14:textId="63674F2C" w:rsidR="00DA09D9" w:rsidRPr="007E0464" w:rsidRDefault="00A20927" w:rsidP="00DA09D9">
      <w:pPr>
        <w:pStyle w:val="ListParagraph"/>
        <w:numPr>
          <w:ilvl w:val="0"/>
          <w:numId w:val="1"/>
        </w:numPr>
        <w:spacing w:after="68" w:line="251" w:lineRule="auto"/>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Offer</w:t>
      </w:r>
      <w:r w:rsidR="00335D70" w:rsidRPr="007E0464">
        <w:rPr>
          <w:rFonts w:cs="Calibri"/>
          <w:color w:val="000000"/>
          <w:kern w:val="2"/>
          <w:sz w:val="24"/>
          <w:szCs w:val="24"/>
          <w:lang w:eastAsia="en-GB"/>
          <w14:ligatures w14:val="standardContextual"/>
        </w:rPr>
        <w:t xml:space="preserve"> </w:t>
      </w:r>
      <w:r w:rsidR="00DA09D9" w:rsidRPr="007E0464">
        <w:rPr>
          <w:rFonts w:cs="Calibri"/>
          <w:color w:val="000000"/>
          <w:kern w:val="2"/>
          <w:sz w:val="24"/>
          <w:szCs w:val="24"/>
          <w:lang w:eastAsia="en-GB"/>
          <w14:ligatures w14:val="standardContextual"/>
        </w:rPr>
        <w:t>a number of alternative ways for residents to pay their rent and service charges</w:t>
      </w:r>
      <w:r w:rsidR="67FC55F8" w:rsidRPr="007E0464">
        <w:rPr>
          <w:rFonts w:cs="Calibri"/>
          <w:color w:val="000000"/>
          <w:kern w:val="2"/>
          <w:sz w:val="24"/>
          <w:szCs w:val="24"/>
          <w:lang w:eastAsia="en-GB"/>
          <w14:ligatures w14:val="standardContextual"/>
        </w:rPr>
        <w:t>,</w:t>
      </w:r>
      <w:r w:rsidR="00DA09D9" w:rsidRPr="007E0464">
        <w:rPr>
          <w:rFonts w:cs="Calibri"/>
          <w:color w:val="000000"/>
          <w:kern w:val="2"/>
          <w:sz w:val="24"/>
          <w:szCs w:val="24"/>
          <w:lang w:eastAsia="en-GB"/>
          <w14:ligatures w14:val="standardContextual"/>
        </w:rPr>
        <w:t xml:space="preserve"> </w:t>
      </w:r>
      <w:r w:rsidR="000B264A" w:rsidRPr="007E0464">
        <w:rPr>
          <w:rFonts w:cs="Calibri"/>
          <w:color w:val="000000"/>
          <w:kern w:val="2"/>
          <w:sz w:val="24"/>
          <w:szCs w:val="24"/>
          <w:lang w:eastAsia="en-GB"/>
          <w14:ligatures w14:val="standardContextual"/>
        </w:rPr>
        <w:t xml:space="preserve">whilst </w:t>
      </w:r>
      <w:r w:rsidR="00DA09D9" w:rsidRPr="007E0464">
        <w:rPr>
          <w:rFonts w:cs="Calibri"/>
          <w:color w:val="000000"/>
          <w:kern w:val="2"/>
          <w:sz w:val="24"/>
          <w:szCs w:val="24"/>
          <w:lang w:eastAsia="en-GB"/>
          <w14:ligatures w14:val="standardContextual"/>
        </w:rPr>
        <w:t xml:space="preserve">promoting the use of </w:t>
      </w:r>
      <w:r w:rsidR="009254F9" w:rsidRPr="007E0464">
        <w:rPr>
          <w:rFonts w:cs="Calibri"/>
          <w:color w:val="000000"/>
          <w:kern w:val="2"/>
          <w:sz w:val="24"/>
          <w:szCs w:val="24"/>
          <w:lang w:eastAsia="en-GB"/>
          <w14:ligatures w14:val="standardContextual"/>
        </w:rPr>
        <w:t>D</w:t>
      </w:r>
      <w:r w:rsidR="00DA09D9" w:rsidRPr="007E0464">
        <w:rPr>
          <w:rFonts w:cs="Calibri"/>
          <w:color w:val="000000"/>
          <w:kern w:val="2"/>
          <w:sz w:val="24"/>
          <w:szCs w:val="24"/>
          <w:lang w:eastAsia="en-GB"/>
          <w14:ligatures w14:val="standardContextual"/>
        </w:rPr>
        <w:t xml:space="preserve">irect </w:t>
      </w:r>
      <w:r w:rsidR="009254F9" w:rsidRPr="007E0464">
        <w:rPr>
          <w:rFonts w:cs="Calibri"/>
          <w:color w:val="000000"/>
          <w:kern w:val="2"/>
          <w:sz w:val="24"/>
          <w:szCs w:val="24"/>
          <w:lang w:eastAsia="en-GB"/>
          <w14:ligatures w14:val="standardContextual"/>
        </w:rPr>
        <w:t>D</w:t>
      </w:r>
      <w:r w:rsidR="00DA09D9" w:rsidRPr="007E0464">
        <w:rPr>
          <w:rFonts w:cs="Calibri"/>
          <w:color w:val="000000"/>
          <w:kern w:val="2"/>
          <w:sz w:val="24"/>
          <w:szCs w:val="24"/>
          <w:lang w:eastAsia="en-GB"/>
          <w14:ligatures w14:val="standardContextual"/>
        </w:rPr>
        <w:t>ebit as our preferred payment method.</w:t>
      </w:r>
    </w:p>
    <w:p w14:paraId="4D69A245" w14:textId="44C77FC8" w:rsidR="0054690D" w:rsidRPr="007E0464" w:rsidRDefault="00A614A0" w:rsidP="00DA09D9">
      <w:pPr>
        <w:pStyle w:val="ListParagraph"/>
        <w:numPr>
          <w:ilvl w:val="0"/>
          <w:numId w:val="1"/>
        </w:numPr>
        <w:spacing w:after="68" w:line="251" w:lineRule="auto"/>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Support</w:t>
      </w:r>
      <w:r w:rsidR="0054690D" w:rsidRPr="007E0464">
        <w:rPr>
          <w:rFonts w:cs="Calibri"/>
          <w:color w:val="000000"/>
          <w:kern w:val="2"/>
          <w:sz w:val="24"/>
          <w:szCs w:val="24"/>
          <w:lang w:eastAsia="en-GB"/>
          <w14:ligatures w14:val="standardContextual"/>
        </w:rPr>
        <w:t xml:space="preserve"> </w:t>
      </w:r>
      <w:r w:rsidR="00995D16" w:rsidRPr="007E0464">
        <w:rPr>
          <w:rFonts w:cs="Calibri"/>
          <w:color w:val="000000"/>
          <w:kern w:val="2"/>
          <w:sz w:val="24"/>
          <w:szCs w:val="24"/>
          <w:lang w:eastAsia="en-GB"/>
          <w14:ligatures w14:val="standardContextual"/>
        </w:rPr>
        <w:t>residents</w:t>
      </w:r>
      <w:r w:rsidR="1D54640B" w:rsidRPr="007E0464">
        <w:rPr>
          <w:rFonts w:cs="Calibri"/>
          <w:color w:val="000000"/>
          <w:kern w:val="2"/>
          <w:sz w:val="24"/>
          <w:szCs w:val="24"/>
          <w:lang w:eastAsia="en-GB"/>
          <w14:ligatures w14:val="standardContextual"/>
        </w:rPr>
        <w:t>’</w:t>
      </w:r>
      <w:r w:rsidR="0054690D" w:rsidRPr="007E0464">
        <w:rPr>
          <w:rFonts w:cs="Calibri"/>
          <w:color w:val="000000"/>
          <w:kern w:val="2"/>
          <w:sz w:val="24"/>
          <w:szCs w:val="24"/>
          <w:lang w:eastAsia="en-GB"/>
          <w14:ligatures w14:val="standardContextual"/>
        </w:rPr>
        <w:t xml:space="preserve"> wellbeing</w:t>
      </w:r>
      <w:r w:rsidRPr="007E0464">
        <w:rPr>
          <w:rFonts w:cs="Calibri"/>
          <w:color w:val="000000"/>
          <w:kern w:val="2"/>
          <w:sz w:val="24"/>
          <w:szCs w:val="24"/>
          <w:lang w:eastAsia="en-GB"/>
          <w14:ligatures w14:val="standardContextual"/>
        </w:rPr>
        <w:t xml:space="preserve">, building an appropriate degree of flexibility into our policy for </w:t>
      </w:r>
      <w:r w:rsidRPr="007E0464">
        <w:rPr>
          <w:color w:val="000000"/>
          <w:sz w:val="24"/>
          <w:szCs w:val="24"/>
        </w:rPr>
        <w:t xml:space="preserve">residents who are in crisis or who </w:t>
      </w:r>
      <w:r w:rsidR="0071098D" w:rsidRPr="007E0464">
        <w:rPr>
          <w:color w:val="000000"/>
          <w:sz w:val="24"/>
          <w:szCs w:val="24"/>
        </w:rPr>
        <w:t>are vulnerable.</w:t>
      </w:r>
    </w:p>
    <w:p w14:paraId="469880D7" w14:textId="6B72D3DD" w:rsidR="00AD01C7" w:rsidRPr="007E0464" w:rsidRDefault="00AD01C7" w:rsidP="00DA09D9">
      <w:pPr>
        <w:pStyle w:val="ListParagraph"/>
        <w:numPr>
          <w:ilvl w:val="0"/>
          <w:numId w:val="1"/>
        </w:numPr>
        <w:spacing w:after="68" w:line="251" w:lineRule="auto"/>
        <w:rPr>
          <w:rFonts w:cs="Calibri"/>
          <w:color w:val="000000"/>
          <w:kern w:val="2"/>
          <w:sz w:val="24"/>
          <w:szCs w:val="24"/>
          <w:lang w:eastAsia="en-GB"/>
          <w14:ligatures w14:val="standardContextual"/>
        </w:rPr>
      </w:pPr>
      <w:r w:rsidRPr="007E0464">
        <w:rPr>
          <w:color w:val="000000"/>
          <w:sz w:val="24"/>
          <w:szCs w:val="24"/>
        </w:rPr>
        <w:t xml:space="preserve">Use a staged approach to arrears recovery which clearly sets out </w:t>
      </w:r>
      <w:r w:rsidR="00CD288D">
        <w:rPr>
          <w:color w:val="000000"/>
          <w:sz w:val="24"/>
          <w:szCs w:val="24"/>
        </w:rPr>
        <w:t xml:space="preserve">the actions for </w:t>
      </w:r>
      <w:r w:rsidR="00E44AD1" w:rsidRPr="007E0464">
        <w:rPr>
          <w:color w:val="000000"/>
          <w:sz w:val="24"/>
          <w:szCs w:val="24"/>
        </w:rPr>
        <w:t>each step</w:t>
      </w:r>
      <w:r w:rsidR="001119AF" w:rsidRPr="007E0464">
        <w:rPr>
          <w:color w:val="000000"/>
          <w:sz w:val="24"/>
          <w:szCs w:val="24"/>
        </w:rPr>
        <w:t>.</w:t>
      </w:r>
      <w:r w:rsidR="00E44AD1" w:rsidRPr="007E0464">
        <w:rPr>
          <w:color w:val="000000"/>
          <w:sz w:val="24"/>
          <w:szCs w:val="24"/>
        </w:rPr>
        <w:t xml:space="preserve"> </w:t>
      </w:r>
    </w:p>
    <w:p w14:paraId="6760DE78" w14:textId="66ACADF8" w:rsidR="00DA09D9" w:rsidRPr="007E0464" w:rsidRDefault="0022173C" w:rsidP="00BD0CCD">
      <w:pPr>
        <w:pStyle w:val="ListParagraph"/>
        <w:numPr>
          <w:ilvl w:val="0"/>
          <w:numId w:val="1"/>
        </w:numPr>
        <w:spacing w:after="68" w:line="251" w:lineRule="auto"/>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 xml:space="preserve">Seek </w:t>
      </w:r>
      <w:r w:rsidR="00DA09D9" w:rsidRPr="007E0464">
        <w:rPr>
          <w:rFonts w:cs="Calibri"/>
          <w:color w:val="000000"/>
          <w:kern w:val="2"/>
          <w:sz w:val="24"/>
          <w:szCs w:val="24"/>
          <w:lang w:eastAsia="en-GB"/>
          <w14:ligatures w14:val="standardContextual"/>
        </w:rPr>
        <w:t>legal possession of a property</w:t>
      </w:r>
      <w:r w:rsidR="00D86E97" w:rsidRPr="007E0464">
        <w:rPr>
          <w:rFonts w:cs="Calibri"/>
          <w:color w:val="000000"/>
          <w:kern w:val="2"/>
          <w:sz w:val="24"/>
          <w:szCs w:val="24"/>
          <w:lang w:eastAsia="en-GB"/>
          <w14:ligatures w14:val="standardContextual"/>
        </w:rPr>
        <w:t xml:space="preserve"> </w:t>
      </w:r>
      <w:r w:rsidR="004B190F" w:rsidRPr="007E0464">
        <w:rPr>
          <w:rFonts w:cs="Calibri"/>
          <w:color w:val="000000"/>
          <w:kern w:val="2"/>
          <w:sz w:val="24"/>
          <w:szCs w:val="24"/>
          <w:lang w:eastAsia="en-GB"/>
          <w14:ligatures w14:val="standardContextual"/>
        </w:rPr>
        <w:t xml:space="preserve">only when </w:t>
      </w:r>
      <w:r w:rsidR="00D86E97" w:rsidRPr="007E0464">
        <w:rPr>
          <w:rFonts w:cs="Calibri"/>
          <w:color w:val="000000"/>
          <w:kern w:val="2"/>
          <w:sz w:val="24"/>
          <w:szCs w:val="24"/>
          <w:lang w:eastAsia="en-GB"/>
          <w14:ligatures w14:val="standardContextual"/>
        </w:rPr>
        <w:t xml:space="preserve">all </w:t>
      </w:r>
      <w:r w:rsidR="00DA09D9" w:rsidRPr="007E0464">
        <w:rPr>
          <w:rFonts w:cs="Calibri"/>
          <w:color w:val="000000"/>
          <w:kern w:val="2"/>
          <w:sz w:val="24"/>
          <w:szCs w:val="24"/>
          <w:lang w:eastAsia="en-GB"/>
          <w14:ligatures w14:val="standardContextual"/>
        </w:rPr>
        <w:t xml:space="preserve">other methods have failed to </w:t>
      </w:r>
      <w:r w:rsidR="006C2EB9" w:rsidRPr="007E0464">
        <w:rPr>
          <w:rFonts w:cs="Calibri"/>
          <w:color w:val="000000"/>
          <w:kern w:val="2"/>
          <w:sz w:val="24"/>
          <w:szCs w:val="24"/>
          <w:lang w:eastAsia="en-GB"/>
          <w14:ligatures w14:val="standardContextual"/>
        </w:rPr>
        <w:t>e</w:t>
      </w:r>
      <w:r w:rsidR="00DA09D9" w:rsidRPr="007E0464">
        <w:rPr>
          <w:rFonts w:cs="Calibri"/>
          <w:color w:val="000000"/>
          <w:kern w:val="2"/>
          <w:sz w:val="24"/>
          <w:szCs w:val="24"/>
          <w:lang w:eastAsia="en-GB"/>
          <w14:ligatures w14:val="standardContextual"/>
        </w:rPr>
        <w:t>nsure payment</w:t>
      </w:r>
      <w:r w:rsidR="2627F973" w:rsidRPr="007E0464">
        <w:rPr>
          <w:rFonts w:cs="Calibri"/>
          <w:color w:val="000000"/>
          <w:kern w:val="2"/>
          <w:sz w:val="24"/>
          <w:szCs w:val="24"/>
          <w:lang w:eastAsia="en-GB"/>
          <w14:ligatures w14:val="standardContextual"/>
        </w:rPr>
        <w:t>,</w:t>
      </w:r>
      <w:r w:rsidR="006C3861">
        <w:rPr>
          <w:rFonts w:cs="Calibri"/>
          <w:color w:val="000000"/>
          <w:kern w:val="2"/>
          <w:sz w:val="24"/>
          <w:szCs w:val="24"/>
          <w:lang w:eastAsia="en-GB"/>
          <w14:ligatures w14:val="standardContextual"/>
        </w:rPr>
        <w:t xml:space="preserve"> and we have given residents every opportunity to engage with us</w:t>
      </w:r>
      <w:r w:rsidR="00D86E97" w:rsidRPr="007E0464">
        <w:rPr>
          <w:rFonts w:cs="Calibri"/>
          <w:color w:val="000000"/>
          <w:kern w:val="2"/>
          <w:sz w:val="24"/>
          <w:szCs w:val="24"/>
          <w:lang w:eastAsia="en-GB"/>
          <w14:ligatures w14:val="standardContextual"/>
        </w:rPr>
        <w:t xml:space="preserve">. </w:t>
      </w:r>
    </w:p>
    <w:p w14:paraId="6669CFA5" w14:textId="77777777" w:rsidR="00C6088B" w:rsidRPr="007E0464" w:rsidRDefault="00C6088B" w:rsidP="00C6088B">
      <w:pPr>
        <w:pStyle w:val="ListParagraph"/>
        <w:numPr>
          <w:ilvl w:val="0"/>
          <w:numId w:val="1"/>
        </w:numPr>
        <w:spacing w:after="68" w:line="251" w:lineRule="auto"/>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 xml:space="preserve">Ensure that rent collection and arrears performance forms part of individual and team target setting, and that progress against targets is measured, monitored and reported on regularly. </w:t>
      </w:r>
    </w:p>
    <w:p w14:paraId="71C7ECCA" w14:textId="580CCF01" w:rsidR="006D32BD" w:rsidRPr="007E0464" w:rsidRDefault="006D32BD" w:rsidP="00380007">
      <w:pPr>
        <w:pStyle w:val="ListParagraph"/>
        <w:numPr>
          <w:ilvl w:val="0"/>
          <w:numId w:val="1"/>
        </w:numPr>
        <w:spacing w:after="68" w:line="251" w:lineRule="auto"/>
        <w:rPr>
          <w:rFonts w:cs="Calibri"/>
          <w:color w:val="000000"/>
          <w:kern w:val="2"/>
          <w:sz w:val="24"/>
          <w:szCs w:val="24"/>
          <w:lang w:eastAsia="en-GB"/>
          <w14:ligatures w14:val="standardContextual"/>
        </w:rPr>
      </w:pPr>
      <w:r w:rsidRPr="007E0464">
        <w:rPr>
          <w:rFonts w:cs="Calibri"/>
          <w:color w:val="000000"/>
          <w:kern w:val="2"/>
          <w:sz w:val="24"/>
          <w:szCs w:val="24"/>
          <w:lang w:eastAsia="en-GB"/>
          <w14:ligatures w14:val="standardContextual"/>
        </w:rPr>
        <w:t xml:space="preserve">Where residents leave owing rent or service charge arrears, Housing 21 will proactively pursue payment in compliance with relevant legislation. </w:t>
      </w:r>
    </w:p>
    <w:p w14:paraId="1DD40110" w14:textId="77777777" w:rsidR="006D32BD" w:rsidRPr="007E0464" w:rsidRDefault="006D32BD" w:rsidP="00380007">
      <w:pPr>
        <w:pStyle w:val="ListParagraph"/>
        <w:numPr>
          <w:ilvl w:val="0"/>
          <w:numId w:val="1"/>
        </w:numPr>
        <w:spacing w:after="68" w:line="251" w:lineRule="auto"/>
        <w:rPr>
          <w:rFonts w:asciiTheme="minorHAnsi" w:hAnsiTheme="minorHAnsi" w:cstheme="minorHAnsi"/>
          <w:sz w:val="24"/>
          <w:szCs w:val="24"/>
        </w:rPr>
      </w:pPr>
      <w:r w:rsidRPr="007E0464">
        <w:rPr>
          <w:rFonts w:cs="Calibri"/>
          <w:color w:val="000000"/>
          <w:kern w:val="2"/>
          <w:sz w:val="24"/>
          <w:szCs w:val="24"/>
          <w:lang w:eastAsia="en-GB"/>
          <w14:ligatures w14:val="standardContextual"/>
        </w:rPr>
        <w:t>In the case of a resident leaving with a credit balance, a refund will be made as soon as is</w:t>
      </w:r>
      <w:r w:rsidRPr="007E0464">
        <w:rPr>
          <w:rFonts w:asciiTheme="minorHAnsi" w:hAnsiTheme="minorHAnsi" w:cstheme="minorHAnsi"/>
          <w:sz w:val="24"/>
          <w:szCs w:val="24"/>
        </w:rPr>
        <w:t xml:space="preserve"> reasonably possible.  </w:t>
      </w:r>
    </w:p>
    <w:p w14:paraId="3346E73B" w14:textId="06568528" w:rsidR="009E07CF" w:rsidRPr="007E0464" w:rsidRDefault="009E07CF" w:rsidP="00380007">
      <w:pPr>
        <w:pStyle w:val="ListParagraph"/>
        <w:numPr>
          <w:ilvl w:val="0"/>
          <w:numId w:val="1"/>
        </w:numPr>
        <w:spacing w:after="68" w:line="251" w:lineRule="auto"/>
        <w:rPr>
          <w:rFonts w:asciiTheme="minorHAnsi" w:hAnsiTheme="minorHAnsi" w:cstheme="minorHAnsi"/>
          <w:sz w:val="24"/>
          <w:szCs w:val="24"/>
        </w:rPr>
      </w:pPr>
      <w:r w:rsidRPr="007E0464">
        <w:rPr>
          <w:rFonts w:asciiTheme="minorHAnsi" w:hAnsiTheme="minorHAnsi" w:cstheme="minorHAnsi"/>
          <w:sz w:val="24"/>
          <w:szCs w:val="24"/>
        </w:rPr>
        <w:t xml:space="preserve">Outsource the recovery of </w:t>
      </w:r>
      <w:r w:rsidR="000A3691" w:rsidRPr="007E0464">
        <w:rPr>
          <w:rFonts w:asciiTheme="minorHAnsi" w:hAnsiTheme="minorHAnsi" w:cstheme="minorHAnsi"/>
          <w:sz w:val="24"/>
          <w:szCs w:val="24"/>
        </w:rPr>
        <w:t xml:space="preserve">former tenancy arrears to an external </w:t>
      </w:r>
      <w:r w:rsidR="004B0F08" w:rsidRPr="007E0464">
        <w:rPr>
          <w:rFonts w:asciiTheme="minorHAnsi" w:hAnsiTheme="minorHAnsi" w:cstheme="minorHAnsi"/>
          <w:sz w:val="24"/>
          <w:szCs w:val="24"/>
        </w:rPr>
        <w:t xml:space="preserve">debt collection </w:t>
      </w:r>
      <w:r w:rsidR="000A3691" w:rsidRPr="007E0464">
        <w:rPr>
          <w:rFonts w:asciiTheme="minorHAnsi" w:hAnsiTheme="minorHAnsi" w:cstheme="minorHAnsi"/>
          <w:sz w:val="24"/>
          <w:szCs w:val="24"/>
        </w:rPr>
        <w:t>agency where it is reasonable to do so.</w:t>
      </w:r>
    </w:p>
    <w:p w14:paraId="6DD41770" w14:textId="7C35F81B" w:rsidR="006D32BD" w:rsidRPr="0068211A" w:rsidRDefault="00B01B94" w:rsidP="00097537">
      <w:pPr>
        <w:pStyle w:val="ListParagraph"/>
        <w:numPr>
          <w:ilvl w:val="0"/>
          <w:numId w:val="1"/>
        </w:numPr>
        <w:spacing w:after="68" w:line="251" w:lineRule="auto"/>
        <w:rPr>
          <w:rFonts w:cs="Calibri"/>
          <w:color w:val="000000"/>
          <w:kern w:val="2"/>
          <w:sz w:val="24"/>
          <w:szCs w:val="24"/>
          <w:lang w:eastAsia="en-GB"/>
          <w14:ligatures w14:val="standardContextual"/>
        </w:rPr>
      </w:pPr>
      <w:r w:rsidRPr="05F05E5F">
        <w:rPr>
          <w:rFonts w:asciiTheme="minorHAnsi" w:hAnsiTheme="minorHAnsi" w:cstheme="minorBidi"/>
          <w:sz w:val="24"/>
          <w:szCs w:val="24"/>
        </w:rPr>
        <w:t xml:space="preserve">Ensure there is provision for bad debts </w:t>
      </w:r>
      <w:r w:rsidR="004B0F08" w:rsidRPr="05F05E5F">
        <w:rPr>
          <w:rFonts w:asciiTheme="minorHAnsi" w:hAnsiTheme="minorHAnsi" w:cstheme="minorBidi"/>
          <w:sz w:val="24"/>
          <w:szCs w:val="24"/>
        </w:rPr>
        <w:t xml:space="preserve">within the statutory </w:t>
      </w:r>
      <w:r w:rsidR="00324CB2" w:rsidRPr="05F05E5F">
        <w:rPr>
          <w:rFonts w:asciiTheme="minorHAnsi" w:hAnsiTheme="minorHAnsi" w:cstheme="minorBidi"/>
          <w:sz w:val="24"/>
          <w:szCs w:val="24"/>
        </w:rPr>
        <w:t xml:space="preserve">accounts </w:t>
      </w:r>
      <w:r w:rsidRPr="05F05E5F">
        <w:rPr>
          <w:rFonts w:asciiTheme="minorHAnsi" w:hAnsiTheme="minorHAnsi" w:cstheme="minorBidi"/>
          <w:sz w:val="24"/>
          <w:szCs w:val="24"/>
        </w:rPr>
        <w:t xml:space="preserve">and have a </w:t>
      </w:r>
      <w:r w:rsidR="00DA55D0" w:rsidRPr="05F05E5F">
        <w:rPr>
          <w:rFonts w:asciiTheme="minorHAnsi" w:hAnsiTheme="minorHAnsi" w:cstheme="minorBidi"/>
          <w:sz w:val="24"/>
          <w:szCs w:val="24"/>
        </w:rPr>
        <w:t xml:space="preserve">debt </w:t>
      </w:r>
      <w:r w:rsidRPr="05F05E5F">
        <w:rPr>
          <w:rFonts w:asciiTheme="minorHAnsi" w:hAnsiTheme="minorHAnsi" w:cstheme="minorBidi"/>
          <w:sz w:val="24"/>
          <w:szCs w:val="24"/>
        </w:rPr>
        <w:t>write</w:t>
      </w:r>
      <w:r w:rsidR="383C9E6F" w:rsidRPr="05F05E5F">
        <w:rPr>
          <w:rFonts w:asciiTheme="minorHAnsi" w:hAnsiTheme="minorHAnsi" w:cstheme="minorBidi"/>
          <w:sz w:val="24"/>
          <w:szCs w:val="24"/>
        </w:rPr>
        <w:t>-</w:t>
      </w:r>
      <w:r w:rsidRPr="05F05E5F">
        <w:rPr>
          <w:rFonts w:asciiTheme="minorHAnsi" w:hAnsiTheme="minorHAnsi" w:cstheme="minorBidi"/>
          <w:sz w:val="24"/>
          <w:szCs w:val="24"/>
        </w:rPr>
        <w:t xml:space="preserve">off </w:t>
      </w:r>
      <w:r w:rsidR="00DA55D0" w:rsidRPr="05F05E5F">
        <w:rPr>
          <w:rFonts w:asciiTheme="minorHAnsi" w:hAnsiTheme="minorHAnsi" w:cstheme="minorBidi"/>
          <w:sz w:val="24"/>
          <w:szCs w:val="24"/>
        </w:rPr>
        <w:t>process</w:t>
      </w:r>
      <w:r w:rsidR="00D42488" w:rsidRPr="05F05E5F">
        <w:rPr>
          <w:rFonts w:asciiTheme="minorHAnsi" w:hAnsiTheme="minorHAnsi" w:cstheme="minorBidi"/>
          <w:sz w:val="24"/>
          <w:szCs w:val="24"/>
        </w:rPr>
        <w:t xml:space="preserve"> for former tenant arrears</w:t>
      </w:r>
      <w:r w:rsidR="00DA55D0" w:rsidRPr="05F05E5F">
        <w:rPr>
          <w:rFonts w:asciiTheme="minorHAnsi" w:hAnsiTheme="minorHAnsi" w:cstheme="minorBidi"/>
          <w:sz w:val="24"/>
          <w:szCs w:val="24"/>
        </w:rPr>
        <w:t>.</w:t>
      </w:r>
    </w:p>
    <w:p w14:paraId="4266E8DC" w14:textId="239665F5" w:rsidR="0068211A" w:rsidRDefault="0068211A" w:rsidP="00097537">
      <w:pPr>
        <w:pStyle w:val="ListParagraph"/>
        <w:numPr>
          <w:ilvl w:val="0"/>
          <w:numId w:val="1"/>
        </w:numPr>
        <w:spacing w:after="68" w:line="251" w:lineRule="auto"/>
        <w:rPr>
          <w:rFonts w:cs="Calibri"/>
          <w:color w:val="000000"/>
          <w:kern w:val="2"/>
          <w:sz w:val="24"/>
          <w:szCs w:val="24"/>
          <w:lang w:eastAsia="en-GB"/>
          <w14:ligatures w14:val="standardContextual"/>
        </w:rPr>
      </w:pPr>
      <w:r w:rsidRPr="00C90EB9">
        <w:rPr>
          <w:rFonts w:cs="Calibri"/>
          <w:color w:val="000000"/>
          <w:kern w:val="2"/>
          <w:sz w:val="24"/>
          <w:szCs w:val="24"/>
          <w:lang w:eastAsia="en-GB"/>
          <w14:ligatures w14:val="standardContextual"/>
        </w:rPr>
        <w:t xml:space="preserve">Ensure </w:t>
      </w:r>
      <w:r w:rsidR="00C90EB9" w:rsidRPr="00C90EB9">
        <w:rPr>
          <w:rFonts w:cs="Calibri"/>
          <w:color w:val="000000"/>
          <w:kern w:val="2"/>
          <w:sz w:val="24"/>
          <w:szCs w:val="24"/>
          <w:lang w:eastAsia="en-GB"/>
          <w14:ligatures w14:val="standardContextual"/>
        </w:rPr>
        <w:t xml:space="preserve">there is </w:t>
      </w:r>
      <w:r w:rsidRPr="00C90EB9">
        <w:rPr>
          <w:rFonts w:cs="Calibri"/>
          <w:color w:val="000000"/>
          <w:kern w:val="2"/>
          <w:sz w:val="24"/>
          <w:szCs w:val="24"/>
          <w:lang w:eastAsia="en-GB"/>
          <w14:ligatures w14:val="standardContextual"/>
        </w:rPr>
        <w:t xml:space="preserve">a documented audit trail of all actions taken in connection </w:t>
      </w:r>
      <w:r w:rsidR="00B57F48" w:rsidRPr="00C90EB9">
        <w:rPr>
          <w:rFonts w:cs="Calibri"/>
          <w:color w:val="000000"/>
          <w:kern w:val="2"/>
          <w:sz w:val="24"/>
          <w:szCs w:val="24"/>
          <w:lang w:eastAsia="en-GB"/>
          <w14:ligatures w14:val="standardContextual"/>
        </w:rPr>
        <w:t>with current</w:t>
      </w:r>
      <w:r w:rsidR="00C90EB9" w:rsidRPr="00C90EB9">
        <w:rPr>
          <w:rFonts w:cs="Calibri"/>
          <w:color w:val="000000"/>
          <w:kern w:val="2"/>
          <w:sz w:val="24"/>
          <w:szCs w:val="24"/>
          <w:lang w:eastAsia="en-GB"/>
          <w14:ligatures w14:val="standardContextual"/>
        </w:rPr>
        <w:t xml:space="preserve"> and </w:t>
      </w:r>
      <w:r w:rsidRPr="00C90EB9">
        <w:rPr>
          <w:rFonts w:cs="Calibri"/>
          <w:color w:val="000000"/>
          <w:kern w:val="2"/>
          <w:sz w:val="24"/>
          <w:szCs w:val="24"/>
          <w:lang w:eastAsia="en-GB"/>
          <w14:ligatures w14:val="standardContextual"/>
        </w:rPr>
        <w:t xml:space="preserve">former arrears. </w:t>
      </w:r>
    </w:p>
    <w:p w14:paraId="2AFB7B3D" w14:textId="77777777" w:rsidR="00B57F48" w:rsidRPr="00C90EB9" w:rsidRDefault="00B57F48" w:rsidP="00B57F48">
      <w:pPr>
        <w:pStyle w:val="ListParagraph"/>
        <w:spacing w:after="68" w:line="251" w:lineRule="auto"/>
        <w:rPr>
          <w:rFonts w:cs="Calibri"/>
          <w:color w:val="000000"/>
          <w:kern w:val="2"/>
          <w:sz w:val="24"/>
          <w:szCs w:val="24"/>
          <w:lang w:eastAsia="en-GB"/>
          <w14:ligatures w14:val="standardContextual"/>
        </w:rPr>
      </w:pPr>
    </w:p>
    <w:p w14:paraId="38B7BF45" w14:textId="77777777" w:rsidR="00777C8D" w:rsidRDefault="00777C8D" w:rsidP="00B57F48">
      <w:pPr>
        <w:pStyle w:val="ListParagraph"/>
        <w:spacing w:after="68" w:line="251" w:lineRule="auto"/>
        <w:rPr>
          <w:rFonts w:cs="Calibri"/>
          <w:color w:val="000000"/>
          <w:kern w:val="2"/>
          <w:sz w:val="24"/>
          <w:szCs w:val="24"/>
          <w:lang w:eastAsia="en-GB"/>
          <w14:ligatures w14:val="standardContextual"/>
        </w:rPr>
      </w:pPr>
    </w:p>
    <w:p w14:paraId="194CEC33" w14:textId="77777777" w:rsidR="007D5757" w:rsidRDefault="007D5757" w:rsidP="00B57F48">
      <w:pPr>
        <w:pStyle w:val="ListParagraph"/>
        <w:spacing w:after="68" w:line="251" w:lineRule="auto"/>
        <w:rPr>
          <w:rFonts w:cs="Calibri"/>
          <w:color w:val="000000"/>
          <w:kern w:val="2"/>
          <w:sz w:val="24"/>
          <w:szCs w:val="24"/>
          <w:lang w:eastAsia="en-GB"/>
          <w14:ligatures w14:val="standardContextual"/>
        </w:rPr>
      </w:pPr>
    </w:p>
    <w:p w14:paraId="1603A131" w14:textId="77777777" w:rsidR="007D5757" w:rsidRDefault="007D5757" w:rsidP="00B57F48">
      <w:pPr>
        <w:pStyle w:val="ListParagraph"/>
        <w:spacing w:after="68" w:line="251" w:lineRule="auto"/>
        <w:rPr>
          <w:rFonts w:cs="Calibri"/>
          <w:color w:val="000000"/>
          <w:kern w:val="2"/>
          <w:sz w:val="24"/>
          <w:szCs w:val="24"/>
          <w:lang w:eastAsia="en-GB"/>
          <w14:ligatures w14:val="standardContextual"/>
        </w:rPr>
      </w:pPr>
    </w:p>
    <w:p w14:paraId="13187312" w14:textId="77777777" w:rsidR="00777C8D" w:rsidRDefault="00777C8D" w:rsidP="00B57F48">
      <w:pPr>
        <w:pStyle w:val="ListParagraph"/>
        <w:spacing w:after="68" w:line="251" w:lineRule="auto"/>
        <w:rPr>
          <w:rFonts w:cs="Calibri"/>
          <w:color w:val="000000"/>
          <w:kern w:val="2"/>
          <w:sz w:val="24"/>
          <w:szCs w:val="24"/>
          <w:lang w:eastAsia="en-GB"/>
          <w14:ligatures w14:val="standardContextual"/>
        </w:rPr>
      </w:pPr>
    </w:p>
    <w:p w14:paraId="78C62741" w14:textId="0D1119A9" w:rsidR="0012445B" w:rsidRPr="00DD115E" w:rsidRDefault="0012445B" w:rsidP="00565BFB">
      <w:pPr>
        <w:pStyle w:val="Heading1"/>
      </w:pPr>
      <w:bookmarkStart w:id="5" w:name="_Toc184985241"/>
      <w:r w:rsidRPr="00A94323">
        <w:t>Management</w:t>
      </w:r>
      <w:r w:rsidRPr="00DD115E">
        <w:t xml:space="preserve"> Guidance</w:t>
      </w:r>
      <w:bookmarkEnd w:id="5"/>
      <w:r w:rsidRPr="00DD115E">
        <w:t xml:space="preserve"> </w:t>
      </w:r>
    </w:p>
    <w:p w14:paraId="6F7044FB" w14:textId="77777777" w:rsidR="008C4EA2" w:rsidRPr="00DD115E" w:rsidRDefault="008C4EA2" w:rsidP="00A94323">
      <w:pPr>
        <w:pStyle w:val="Heading2"/>
        <w:rPr>
          <w:rFonts w:eastAsia="Calibri"/>
        </w:rPr>
      </w:pPr>
      <w:bookmarkStart w:id="6" w:name="_Toc177981463"/>
      <w:bookmarkStart w:id="7" w:name="_Toc184985242"/>
      <w:r w:rsidRPr="00DD115E">
        <w:rPr>
          <w:rFonts w:eastAsia="Calibri"/>
        </w:rPr>
        <w:t>Devolved Process</w:t>
      </w:r>
      <w:bookmarkEnd w:id="6"/>
      <w:r w:rsidRPr="00DD115E">
        <w:rPr>
          <w:rFonts w:eastAsia="Calibri"/>
        </w:rPr>
        <w:t xml:space="preserve"> – Who Does What?</w:t>
      </w:r>
      <w:bookmarkEnd w:id="7"/>
    </w:p>
    <w:p w14:paraId="412E451A" w14:textId="607E01D1" w:rsidR="00661190" w:rsidRDefault="008C4EA2" w:rsidP="0041177D">
      <w:pPr>
        <w:rPr>
          <w:sz w:val="24"/>
          <w:szCs w:val="24"/>
          <w:lang w:eastAsia="en-GB"/>
        </w:rPr>
      </w:pPr>
      <w:r w:rsidRPr="05F05E5F">
        <w:rPr>
          <w:sz w:val="24"/>
          <w:szCs w:val="24"/>
          <w:lang w:eastAsia="en-GB"/>
        </w:rPr>
        <w:t>Housing 21 operate</w:t>
      </w:r>
      <w:r w:rsidR="4CB71A79" w:rsidRPr="05F05E5F">
        <w:rPr>
          <w:sz w:val="24"/>
          <w:szCs w:val="24"/>
          <w:lang w:eastAsia="en-GB"/>
        </w:rPr>
        <w:t>s</w:t>
      </w:r>
      <w:r w:rsidRPr="05F05E5F">
        <w:rPr>
          <w:sz w:val="24"/>
          <w:szCs w:val="24"/>
          <w:lang w:eastAsia="en-GB"/>
        </w:rPr>
        <w:t xml:space="preserve"> a devolved housing management service</w:t>
      </w:r>
      <w:r w:rsidR="00757E2F" w:rsidRPr="05F05E5F">
        <w:rPr>
          <w:sz w:val="24"/>
          <w:szCs w:val="24"/>
          <w:lang w:eastAsia="en-GB"/>
        </w:rPr>
        <w:t xml:space="preserve"> with support from </w:t>
      </w:r>
      <w:r w:rsidR="39ECB97E" w:rsidRPr="05F05E5F">
        <w:rPr>
          <w:sz w:val="24"/>
          <w:szCs w:val="24"/>
          <w:lang w:eastAsia="en-GB"/>
        </w:rPr>
        <w:t>t</w:t>
      </w:r>
      <w:r w:rsidR="00661190" w:rsidRPr="05F05E5F">
        <w:rPr>
          <w:sz w:val="24"/>
          <w:szCs w:val="24"/>
          <w:lang w:eastAsia="en-GB"/>
        </w:rPr>
        <w:t xml:space="preserve">he Income Administration </w:t>
      </w:r>
      <w:r w:rsidR="627C3D5D" w:rsidRPr="05F05E5F">
        <w:rPr>
          <w:sz w:val="24"/>
          <w:szCs w:val="24"/>
          <w:lang w:eastAsia="en-GB"/>
        </w:rPr>
        <w:t>t</w:t>
      </w:r>
      <w:r w:rsidR="00661190" w:rsidRPr="05F05E5F">
        <w:rPr>
          <w:sz w:val="24"/>
          <w:szCs w:val="24"/>
          <w:lang w:eastAsia="en-GB"/>
        </w:rPr>
        <w:t>eam</w:t>
      </w:r>
      <w:r w:rsidRPr="05F05E5F">
        <w:rPr>
          <w:sz w:val="24"/>
          <w:szCs w:val="24"/>
          <w:lang w:eastAsia="en-GB"/>
        </w:rPr>
        <w:t xml:space="preserve">. </w:t>
      </w:r>
    </w:p>
    <w:p w14:paraId="3BC89C19" w14:textId="446C7DDF" w:rsidR="00A617B6" w:rsidRPr="00A013BD" w:rsidRDefault="008C4EA2" w:rsidP="00A013BD">
      <w:pPr>
        <w:rPr>
          <w:sz w:val="24"/>
          <w:szCs w:val="24"/>
          <w:lang w:eastAsia="en-GB"/>
        </w:rPr>
      </w:pPr>
      <w:r w:rsidRPr="161C42D0">
        <w:rPr>
          <w:sz w:val="24"/>
          <w:szCs w:val="24"/>
          <w:lang w:eastAsia="en-GB"/>
        </w:rPr>
        <w:t>The scheme managers are responsible for</w:t>
      </w:r>
      <w:r w:rsidR="00A013BD" w:rsidRPr="161C42D0">
        <w:rPr>
          <w:sz w:val="24"/>
          <w:szCs w:val="24"/>
          <w:lang w:eastAsia="en-GB"/>
        </w:rPr>
        <w:t xml:space="preserve"> </w:t>
      </w:r>
      <w:r w:rsidR="60CD9901" w:rsidRPr="161C42D0">
        <w:rPr>
          <w:sz w:val="24"/>
          <w:szCs w:val="24"/>
          <w:lang w:eastAsia="en-GB"/>
        </w:rPr>
        <w:t>a</w:t>
      </w:r>
      <w:r w:rsidR="00167C7E" w:rsidRPr="161C42D0">
        <w:rPr>
          <w:sz w:val="24"/>
          <w:szCs w:val="24"/>
          <w:lang w:eastAsia="en-GB"/>
        </w:rPr>
        <w:t>rrears prevention and recovery</w:t>
      </w:r>
      <w:r w:rsidR="00FA120F" w:rsidRPr="161C42D0">
        <w:rPr>
          <w:sz w:val="24"/>
          <w:szCs w:val="24"/>
          <w:lang w:eastAsia="en-GB"/>
        </w:rPr>
        <w:t xml:space="preserve">; </w:t>
      </w:r>
      <w:r w:rsidR="0057643D" w:rsidRPr="161C42D0">
        <w:rPr>
          <w:sz w:val="24"/>
          <w:szCs w:val="24"/>
          <w:lang w:eastAsia="en-GB"/>
        </w:rPr>
        <w:t>their l</w:t>
      </w:r>
      <w:r w:rsidR="00F62E7A" w:rsidRPr="161C42D0">
        <w:rPr>
          <w:sz w:val="24"/>
          <w:szCs w:val="24"/>
          <w:lang w:eastAsia="en-GB"/>
        </w:rPr>
        <w:t>ine managers</w:t>
      </w:r>
      <w:r w:rsidR="6CEC44CE" w:rsidRPr="161C42D0">
        <w:rPr>
          <w:sz w:val="24"/>
          <w:szCs w:val="24"/>
          <w:lang w:eastAsia="en-GB"/>
        </w:rPr>
        <w:t>’</w:t>
      </w:r>
      <w:r w:rsidR="00F62E7A" w:rsidRPr="161C42D0">
        <w:rPr>
          <w:sz w:val="24"/>
          <w:szCs w:val="24"/>
          <w:lang w:eastAsia="en-GB"/>
        </w:rPr>
        <w:t xml:space="preserve"> </w:t>
      </w:r>
      <w:r w:rsidR="000A5370" w:rsidRPr="161C42D0">
        <w:rPr>
          <w:sz w:val="24"/>
          <w:szCs w:val="24"/>
          <w:lang w:eastAsia="en-GB"/>
        </w:rPr>
        <w:t xml:space="preserve">authorisation is required to </w:t>
      </w:r>
      <w:r w:rsidR="00B543AF" w:rsidRPr="161C42D0">
        <w:rPr>
          <w:sz w:val="24"/>
          <w:szCs w:val="24"/>
          <w:lang w:eastAsia="en-GB"/>
        </w:rPr>
        <w:t xml:space="preserve">progress </w:t>
      </w:r>
      <w:r w:rsidR="00655B9C" w:rsidRPr="161C42D0">
        <w:rPr>
          <w:sz w:val="24"/>
          <w:szCs w:val="24"/>
          <w:lang w:eastAsia="en-GB"/>
        </w:rPr>
        <w:t xml:space="preserve">action from the </w:t>
      </w:r>
      <w:r w:rsidR="00B543AF" w:rsidRPr="161C42D0">
        <w:rPr>
          <w:sz w:val="24"/>
          <w:szCs w:val="24"/>
          <w:lang w:eastAsia="en-GB"/>
        </w:rPr>
        <w:t xml:space="preserve">issue of a Notice Seeking Possession </w:t>
      </w:r>
      <w:r w:rsidR="00655B9C" w:rsidRPr="161C42D0">
        <w:rPr>
          <w:sz w:val="24"/>
          <w:szCs w:val="24"/>
          <w:lang w:eastAsia="en-GB"/>
        </w:rPr>
        <w:t>stage onwards.</w:t>
      </w:r>
      <w:r w:rsidR="009254F9" w:rsidRPr="161C42D0">
        <w:rPr>
          <w:sz w:val="24"/>
          <w:szCs w:val="24"/>
          <w:lang w:eastAsia="en-GB"/>
        </w:rPr>
        <w:t xml:space="preserve"> </w:t>
      </w:r>
      <w:r w:rsidR="00A013BD" w:rsidRPr="161C42D0">
        <w:rPr>
          <w:sz w:val="24"/>
          <w:szCs w:val="24"/>
          <w:lang w:eastAsia="en-GB"/>
        </w:rPr>
        <w:t>This includes but is not limited to</w:t>
      </w:r>
      <w:r w:rsidR="000234AD" w:rsidRPr="161C42D0">
        <w:rPr>
          <w:sz w:val="24"/>
          <w:szCs w:val="24"/>
          <w:lang w:eastAsia="en-GB"/>
        </w:rPr>
        <w:t>:</w:t>
      </w:r>
      <w:r w:rsidR="00A013BD" w:rsidRPr="161C42D0">
        <w:rPr>
          <w:sz w:val="24"/>
          <w:szCs w:val="24"/>
          <w:lang w:eastAsia="en-GB"/>
        </w:rPr>
        <w:t xml:space="preserve"> </w:t>
      </w:r>
    </w:p>
    <w:p w14:paraId="2EBF84EB" w14:textId="59898D43" w:rsidR="00BD62D6" w:rsidRDefault="00BD62D6" w:rsidP="00A617B6">
      <w:pPr>
        <w:pStyle w:val="ListParagraph"/>
        <w:numPr>
          <w:ilvl w:val="0"/>
          <w:numId w:val="20"/>
        </w:numPr>
        <w:rPr>
          <w:sz w:val="24"/>
          <w:szCs w:val="24"/>
          <w:lang w:eastAsia="en-GB"/>
        </w:rPr>
      </w:pPr>
      <w:r w:rsidRPr="161C42D0">
        <w:rPr>
          <w:sz w:val="24"/>
          <w:szCs w:val="24"/>
          <w:lang w:eastAsia="en-GB"/>
        </w:rPr>
        <w:t>Regular reviews of the rent account</w:t>
      </w:r>
      <w:r w:rsidR="008733E5" w:rsidRPr="161C42D0">
        <w:rPr>
          <w:sz w:val="24"/>
          <w:szCs w:val="24"/>
          <w:lang w:eastAsia="en-GB"/>
        </w:rPr>
        <w:t xml:space="preserve"> and updating the housing management system</w:t>
      </w:r>
      <w:r w:rsidR="240E0F01" w:rsidRPr="161C42D0">
        <w:rPr>
          <w:sz w:val="24"/>
          <w:szCs w:val="24"/>
          <w:lang w:eastAsia="en-GB"/>
        </w:rPr>
        <w:t>.</w:t>
      </w:r>
      <w:r w:rsidRPr="161C42D0">
        <w:rPr>
          <w:sz w:val="24"/>
          <w:szCs w:val="24"/>
          <w:lang w:eastAsia="en-GB"/>
        </w:rPr>
        <w:t xml:space="preserve"> </w:t>
      </w:r>
    </w:p>
    <w:p w14:paraId="756B5B68" w14:textId="175FAF44" w:rsidR="006A052E" w:rsidRDefault="006A052E" w:rsidP="00A617B6">
      <w:pPr>
        <w:pStyle w:val="ListParagraph"/>
        <w:numPr>
          <w:ilvl w:val="0"/>
          <w:numId w:val="20"/>
        </w:numPr>
        <w:rPr>
          <w:sz w:val="24"/>
          <w:szCs w:val="24"/>
          <w:lang w:eastAsia="en-GB"/>
        </w:rPr>
      </w:pPr>
      <w:r w:rsidRPr="161C42D0">
        <w:rPr>
          <w:sz w:val="24"/>
          <w:szCs w:val="24"/>
          <w:lang w:eastAsia="en-GB"/>
        </w:rPr>
        <w:t>Maintaining regular contact with residents</w:t>
      </w:r>
      <w:r w:rsidR="64549A0B" w:rsidRPr="161C42D0">
        <w:rPr>
          <w:sz w:val="24"/>
          <w:szCs w:val="24"/>
          <w:lang w:eastAsia="en-GB"/>
        </w:rPr>
        <w:t>.</w:t>
      </w:r>
      <w:r w:rsidRPr="161C42D0">
        <w:rPr>
          <w:sz w:val="24"/>
          <w:szCs w:val="24"/>
          <w:lang w:eastAsia="en-GB"/>
        </w:rPr>
        <w:t xml:space="preserve"> </w:t>
      </w:r>
    </w:p>
    <w:p w14:paraId="256EA813" w14:textId="53EF745B" w:rsidR="00A053C6" w:rsidRDefault="00A053C6" w:rsidP="00A617B6">
      <w:pPr>
        <w:pStyle w:val="ListParagraph"/>
        <w:numPr>
          <w:ilvl w:val="0"/>
          <w:numId w:val="20"/>
        </w:numPr>
        <w:rPr>
          <w:sz w:val="24"/>
          <w:szCs w:val="24"/>
          <w:lang w:eastAsia="en-GB"/>
        </w:rPr>
      </w:pPr>
      <w:r w:rsidRPr="161C42D0">
        <w:rPr>
          <w:sz w:val="24"/>
          <w:szCs w:val="24"/>
          <w:lang w:eastAsia="en-GB"/>
        </w:rPr>
        <w:t>Producing and distributing rent statements</w:t>
      </w:r>
      <w:r w:rsidR="64549A0B" w:rsidRPr="161C42D0">
        <w:rPr>
          <w:sz w:val="24"/>
          <w:szCs w:val="24"/>
          <w:lang w:eastAsia="en-GB"/>
        </w:rPr>
        <w:t>.</w:t>
      </w:r>
    </w:p>
    <w:p w14:paraId="532C57AB" w14:textId="5BFF01B4" w:rsidR="00A053C6" w:rsidRDefault="00024487" w:rsidP="00A617B6">
      <w:pPr>
        <w:pStyle w:val="ListParagraph"/>
        <w:numPr>
          <w:ilvl w:val="0"/>
          <w:numId w:val="20"/>
        </w:numPr>
        <w:rPr>
          <w:sz w:val="24"/>
          <w:szCs w:val="24"/>
          <w:lang w:eastAsia="en-GB"/>
        </w:rPr>
      </w:pPr>
      <w:r w:rsidRPr="161C42D0">
        <w:rPr>
          <w:sz w:val="24"/>
          <w:szCs w:val="24"/>
          <w:lang w:eastAsia="en-GB"/>
        </w:rPr>
        <w:t>Responding to queries regarding rent accounts and rent statements</w:t>
      </w:r>
      <w:r w:rsidR="001E4A60" w:rsidRPr="161C42D0">
        <w:rPr>
          <w:sz w:val="24"/>
          <w:szCs w:val="24"/>
          <w:lang w:eastAsia="en-GB"/>
        </w:rPr>
        <w:t xml:space="preserve"> (with support from Income Admin regarding </w:t>
      </w:r>
      <w:r w:rsidR="00C35D26" w:rsidRPr="161C42D0">
        <w:rPr>
          <w:sz w:val="24"/>
          <w:szCs w:val="24"/>
          <w:lang w:eastAsia="en-GB"/>
        </w:rPr>
        <w:t>Direct Debit and other payment queries)</w:t>
      </w:r>
      <w:r w:rsidR="67040B23" w:rsidRPr="161C42D0">
        <w:rPr>
          <w:sz w:val="24"/>
          <w:szCs w:val="24"/>
          <w:lang w:eastAsia="en-GB"/>
        </w:rPr>
        <w:t>.</w:t>
      </w:r>
      <w:r w:rsidRPr="161C42D0">
        <w:rPr>
          <w:sz w:val="24"/>
          <w:szCs w:val="24"/>
          <w:lang w:eastAsia="en-GB"/>
        </w:rPr>
        <w:t xml:space="preserve"> </w:t>
      </w:r>
      <w:r w:rsidR="00A053C6" w:rsidRPr="161C42D0">
        <w:rPr>
          <w:sz w:val="24"/>
          <w:szCs w:val="24"/>
          <w:lang w:eastAsia="en-GB"/>
        </w:rPr>
        <w:t xml:space="preserve"> </w:t>
      </w:r>
    </w:p>
    <w:p w14:paraId="302EED8F" w14:textId="24B3CDEA" w:rsidR="000A60C8" w:rsidRDefault="00AE0D1B" w:rsidP="00A617B6">
      <w:pPr>
        <w:pStyle w:val="ListParagraph"/>
        <w:numPr>
          <w:ilvl w:val="0"/>
          <w:numId w:val="20"/>
        </w:numPr>
        <w:rPr>
          <w:sz w:val="24"/>
          <w:szCs w:val="24"/>
          <w:lang w:eastAsia="en-GB"/>
        </w:rPr>
      </w:pPr>
      <w:r>
        <w:rPr>
          <w:sz w:val="24"/>
          <w:szCs w:val="24"/>
          <w:lang w:eastAsia="en-GB"/>
        </w:rPr>
        <w:t>Completing i</w:t>
      </w:r>
      <w:r w:rsidR="003B15C5">
        <w:rPr>
          <w:sz w:val="24"/>
          <w:szCs w:val="24"/>
          <w:lang w:eastAsia="en-GB"/>
        </w:rPr>
        <w:t xml:space="preserve">ncome and </w:t>
      </w:r>
      <w:r>
        <w:rPr>
          <w:sz w:val="24"/>
          <w:szCs w:val="24"/>
          <w:lang w:eastAsia="en-GB"/>
        </w:rPr>
        <w:t>e</w:t>
      </w:r>
      <w:r w:rsidR="003B15C5">
        <w:rPr>
          <w:sz w:val="24"/>
          <w:szCs w:val="24"/>
          <w:lang w:eastAsia="en-GB"/>
        </w:rPr>
        <w:t xml:space="preserve">xpenditure </w:t>
      </w:r>
      <w:r>
        <w:rPr>
          <w:sz w:val="24"/>
          <w:szCs w:val="24"/>
          <w:lang w:eastAsia="en-GB"/>
        </w:rPr>
        <w:t>a</w:t>
      </w:r>
      <w:r w:rsidR="003B15C5">
        <w:rPr>
          <w:sz w:val="24"/>
          <w:szCs w:val="24"/>
          <w:lang w:eastAsia="en-GB"/>
        </w:rPr>
        <w:t xml:space="preserve">ssessments and </w:t>
      </w:r>
      <w:r w:rsidR="00822B12">
        <w:rPr>
          <w:sz w:val="24"/>
          <w:szCs w:val="24"/>
          <w:lang w:eastAsia="en-GB"/>
        </w:rPr>
        <w:t xml:space="preserve">agreeing </w:t>
      </w:r>
      <w:r w:rsidR="003B15C5">
        <w:rPr>
          <w:sz w:val="24"/>
          <w:szCs w:val="24"/>
          <w:lang w:eastAsia="en-GB"/>
        </w:rPr>
        <w:t>repayment plans</w:t>
      </w:r>
      <w:r w:rsidR="00822B12">
        <w:rPr>
          <w:sz w:val="24"/>
          <w:szCs w:val="24"/>
          <w:lang w:eastAsia="en-GB"/>
        </w:rPr>
        <w:t>.</w:t>
      </w:r>
    </w:p>
    <w:p w14:paraId="69961A25" w14:textId="11C8F4CA" w:rsidR="00822B12" w:rsidRDefault="00AF0CB5" w:rsidP="00A617B6">
      <w:pPr>
        <w:pStyle w:val="ListParagraph"/>
        <w:numPr>
          <w:ilvl w:val="0"/>
          <w:numId w:val="20"/>
        </w:numPr>
        <w:rPr>
          <w:sz w:val="24"/>
          <w:szCs w:val="24"/>
          <w:lang w:eastAsia="en-GB"/>
        </w:rPr>
      </w:pPr>
      <w:r>
        <w:rPr>
          <w:sz w:val="24"/>
          <w:szCs w:val="24"/>
          <w:lang w:eastAsia="en-GB"/>
        </w:rPr>
        <w:t>Income maximisation through b</w:t>
      </w:r>
      <w:r w:rsidR="00822B12" w:rsidRPr="161C42D0">
        <w:rPr>
          <w:sz w:val="24"/>
          <w:szCs w:val="24"/>
          <w:lang w:eastAsia="en-GB"/>
        </w:rPr>
        <w:t>enefit checks and support with claims</w:t>
      </w:r>
      <w:r w:rsidR="19829A45" w:rsidRPr="161C42D0">
        <w:rPr>
          <w:sz w:val="24"/>
          <w:szCs w:val="24"/>
          <w:lang w:eastAsia="en-GB"/>
        </w:rPr>
        <w:t>.</w:t>
      </w:r>
      <w:r w:rsidR="00822B12" w:rsidRPr="161C42D0">
        <w:rPr>
          <w:sz w:val="24"/>
          <w:szCs w:val="24"/>
          <w:lang w:eastAsia="en-GB"/>
        </w:rPr>
        <w:t xml:space="preserve"> </w:t>
      </w:r>
    </w:p>
    <w:p w14:paraId="1068C563" w14:textId="5A44DD6E" w:rsidR="00822B12" w:rsidRDefault="00AE6085" w:rsidP="00A617B6">
      <w:pPr>
        <w:pStyle w:val="ListParagraph"/>
        <w:numPr>
          <w:ilvl w:val="0"/>
          <w:numId w:val="20"/>
        </w:numPr>
        <w:rPr>
          <w:sz w:val="24"/>
          <w:szCs w:val="24"/>
          <w:lang w:eastAsia="en-GB"/>
        </w:rPr>
      </w:pPr>
      <w:r w:rsidRPr="161C42D0">
        <w:rPr>
          <w:sz w:val="24"/>
          <w:szCs w:val="24"/>
          <w:lang w:eastAsia="en-GB"/>
        </w:rPr>
        <w:t xml:space="preserve">Support with making claims to the Helping Hands Fund, </w:t>
      </w:r>
      <w:r w:rsidR="00547731" w:rsidRPr="161C42D0">
        <w:rPr>
          <w:sz w:val="24"/>
          <w:szCs w:val="24"/>
          <w:lang w:eastAsia="en-GB"/>
        </w:rPr>
        <w:t>c</w:t>
      </w:r>
      <w:r w:rsidRPr="161C42D0">
        <w:rPr>
          <w:sz w:val="24"/>
          <w:szCs w:val="24"/>
          <w:lang w:eastAsia="en-GB"/>
        </w:rPr>
        <w:t xml:space="preserve">harities and other </w:t>
      </w:r>
      <w:r w:rsidR="00D45839" w:rsidRPr="161C42D0">
        <w:rPr>
          <w:sz w:val="24"/>
          <w:szCs w:val="24"/>
          <w:lang w:eastAsia="en-GB"/>
        </w:rPr>
        <w:t>benevolent organisations</w:t>
      </w:r>
      <w:r w:rsidR="4D88441D" w:rsidRPr="161C42D0">
        <w:rPr>
          <w:sz w:val="24"/>
          <w:szCs w:val="24"/>
          <w:lang w:eastAsia="en-GB"/>
        </w:rPr>
        <w:t>.</w:t>
      </w:r>
      <w:r w:rsidR="00D45839" w:rsidRPr="161C42D0">
        <w:rPr>
          <w:sz w:val="24"/>
          <w:szCs w:val="24"/>
          <w:lang w:eastAsia="en-GB"/>
        </w:rPr>
        <w:t xml:space="preserve"> </w:t>
      </w:r>
    </w:p>
    <w:p w14:paraId="64189D70" w14:textId="332ADDB9" w:rsidR="00547731" w:rsidRPr="00097C84" w:rsidRDefault="00547731" w:rsidP="00097C84">
      <w:pPr>
        <w:rPr>
          <w:sz w:val="24"/>
          <w:szCs w:val="24"/>
          <w:lang w:eastAsia="en-GB"/>
        </w:rPr>
      </w:pPr>
      <w:r w:rsidRPr="161C42D0">
        <w:rPr>
          <w:sz w:val="24"/>
          <w:szCs w:val="24"/>
          <w:lang w:eastAsia="en-GB"/>
        </w:rPr>
        <w:t xml:space="preserve">Scheme </w:t>
      </w:r>
      <w:r w:rsidR="719A98E5" w:rsidRPr="161C42D0">
        <w:rPr>
          <w:sz w:val="24"/>
          <w:szCs w:val="24"/>
          <w:lang w:eastAsia="en-GB"/>
        </w:rPr>
        <w:t>m</w:t>
      </w:r>
      <w:r w:rsidRPr="161C42D0">
        <w:rPr>
          <w:sz w:val="24"/>
          <w:szCs w:val="24"/>
          <w:lang w:eastAsia="en-GB"/>
        </w:rPr>
        <w:t>anagers are also responsible for ensuring end of tenancy procedures are followed, to minimise former arrears.</w:t>
      </w:r>
    </w:p>
    <w:p w14:paraId="7AC346FB" w14:textId="6C12E33B" w:rsidR="00E96602" w:rsidRPr="009B218D" w:rsidRDefault="00500697" w:rsidP="00E96602">
      <w:pPr>
        <w:rPr>
          <w:sz w:val="24"/>
          <w:szCs w:val="24"/>
          <w:lang w:eastAsia="en-GB"/>
        </w:rPr>
      </w:pPr>
      <w:r w:rsidRPr="161C42D0">
        <w:rPr>
          <w:sz w:val="24"/>
          <w:szCs w:val="24"/>
          <w:lang w:eastAsia="en-GB"/>
        </w:rPr>
        <w:t>Ev</w:t>
      </w:r>
      <w:r w:rsidR="00E96602" w:rsidRPr="161C42D0">
        <w:rPr>
          <w:sz w:val="24"/>
          <w:szCs w:val="24"/>
          <w:lang w:eastAsia="en-GB"/>
        </w:rPr>
        <w:t xml:space="preserve">ictions must be approved by the Managing Director who will notify the relevant </w:t>
      </w:r>
      <w:r w:rsidR="00694BB1" w:rsidRPr="161C42D0">
        <w:rPr>
          <w:sz w:val="24"/>
          <w:szCs w:val="24"/>
          <w:lang w:eastAsia="en-GB"/>
        </w:rPr>
        <w:t xml:space="preserve">Board Committee Chairperson. </w:t>
      </w:r>
    </w:p>
    <w:p w14:paraId="3574C7E2" w14:textId="76CDFFD6" w:rsidR="0057493D" w:rsidRDefault="007247DE" w:rsidP="0057493D">
      <w:pPr>
        <w:rPr>
          <w:lang w:eastAsia="en-GB"/>
        </w:rPr>
      </w:pPr>
      <w:r w:rsidRPr="161C42D0">
        <w:rPr>
          <w:sz w:val="24"/>
          <w:szCs w:val="24"/>
          <w:lang w:eastAsia="en-GB"/>
        </w:rPr>
        <w:t xml:space="preserve">Regional </w:t>
      </w:r>
      <w:r w:rsidR="00BC570A">
        <w:rPr>
          <w:sz w:val="24"/>
          <w:szCs w:val="24"/>
          <w:lang w:eastAsia="en-GB"/>
        </w:rPr>
        <w:t>o</w:t>
      </w:r>
      <w:r w:rsidR="00B6063C" w:rsidRPr="161C42D0">
        <w:rPr>
          <w:sz w:val="24"/>
          <w:szCs w:val="24"/>
          <w:lang w:eastAsia="en-GB"/>
        </w:rPr>
        <w:t xml:space="preserve">perational </w:t>
      </w:r>
      <w:r w:rsidR="00BC570A">
        <w:rPr>
          <w:sz w:val="24"/>
          <w:szCs w:val="24"/>
          <w:lang w:eastAsia="en-GB"/>
        </w:rPr>
        <w:t>m</w:t>
      </w:r>
      <w:r w:rsidR="0057493D" w:rsidRPr="161C42D0">
        <w:rPr>
          <w:sz w:val="24"/>
          <w:szCs w:val="24"/>
          <w:lang w:eastAsia="en-GB"/>
        </w:rPr>
        <w:t>anagers</w:t>
      </w:r>
      <w:r w:rsidR="00B6063C" w:rsidRPr="161C42D0">
        <w:rPr>
          <w:sz w:val="24"/>
          <w:szCs w:val="24"/>
          <w:lang w:eastAsia="en-GB"/>
        </w:rPr>
        <w:t xml:space="preserve">, </w:t>
      </w:r>
      <w:r w:rsidR="00BC570A">
        <w:rPr>
          <w:sz w:val="24"/>
          <w:szCs w:val="24"/>
          <w:lang w:eastAsia="en-GB"/>
        </w:rPr>
        <w:t>d</w:t>
      </w:r>
      <w:r w:rsidR="00B6063C" w:rsidRPr="161C42D0">
        <w:rPr>
          <w:sz w:val="24"/>
          <w:szCs w:val="24"/>
          <w:lang w:eastAsia="en-GB"/>
        </w:rPr>
        <w:t xml:space="preserve">eputies </w:t>
      </w:r>
      <w:r w:rsidR="0057493D" w:rsidRPr="161C42D0">
        <w:rPr>
          <w:sz w:val="24"/>
          <w:szCs w:val="24"/>
          <w:lang w:eastAsia="en-GB"/>
        </w:rPr>
        <w:t xml:space="preserve">and </w:t>
      </w:r>
      <w:r w:rsidR="00BC570A">
        <w:rPr>
          <w:sz w:val="24"/>
          <w:szCs w:val="24"/>
          <w:lang w:eastAsia="en-GB"/>
        </w:rPr>
        <w:t>h</w:t>
      </w:r>
      <w:r w:rsidR="0057493D" w:rsidRPr="161C42D0">
        <w:rPr>
          <w:sz w:val="24"/>
          <w:szCs w:val="24"/>
          <w:lang w:eastAsia="en-GB"/>
        </w:rPr>
        <w:t xml:space="preserve">eads of </w:t>
      </w:r>
      <w:r w:rsidR="00BC570A">
        <w:rPr>
          <w:sz w:val="24"/>
          <w:szCs w:val="24"/>
          <w:lang w:eastAsia="en-GB"/>
        </w:rPr>
        <w:t>s</w:t>
      </w:r>
      <w:r w:rsidR="0057493D" w:rsidRPr="161C42D0">
        <w:rPr>
          <w:sz w:val="24"/>
          <w:szCs w:val="24"/>
          <w:lang w:eastAsia="en-GB"/>
        </w:rPr>
        <w:t xml:space="preserve">ervice are responsible for performance management with key performance targets reported to the Board and Executive Team.    </w:t>
      </w:r>
    </w:p>
    <w:p w14:paraId="1CA38CA2" w14:textId="0006C647" w:rsidR="008E56ED" w:rsidRDefault="009254F9" w:rsidP="008C4EA2">
      <w:pPr>
        <w:rPr>
          <w:sz w:val="24"/>
          <w:szCs w:val="24"/>
          <w:lang w:eastAsia="en-GB"/>
        </w:rPr>
      </w:pPr>
      <w:r w:rsidRPr="161C42D0">
        <w:rPr>
          <w:sz w:val="24"/>
          <w:szCs w:val="24"/>
          <w:lang w:eastAsia="en-GB"/>
        </w:rPr>
        <w:t xml:space="preserve">The </w:t>
      </w:r>
      <w:r w:rsidR="00EC07D6" w:rsidRPr="161C42D0">
        <w:rPr>
          <w:sz w:val="24"/>
          <w:szCs w:val="24"/>
          <w:lang w:eastAsia="en-GB"/>
        </w:rPr>
        <w:t>Income Admin</w:t>
      </w:r>
      <w:r w:rsidR="00850AD5" w:rsidRPr="161C42D0">
        <w:rPr>
          <w:sz w:val="24"/>
          <w:szCs w:val="24"/>
          <w:lang w:eastAsia="en-GB"/>
        </w:rPr>
        <w:t>istration</w:t>
      </w:r>
      <w:r w:rsidR="00880BC2" w:rsidRPr="161C42D0">
        <w:rPr>
          <w:sz w:val="24"/>
          <w:szCs w:val="24"/>
          <w:lang w:eastAsia="en-GB"/>
        </w:rPr>
        <w:t xml:space="preserve"> </w:t>
      </w:r>
      <w:r w:rsidR="7CC88F06" w:rsidRPr="161C42D0">
        <w:rPr>
          <w:sz w:val="24"/>
          <w:szCs w:val="24"/>
          <w:lang w:eastAsia="en-GB"/>
        </w:rPr>
        <w:t>T</w:t>
      </w:r>
      <w:r w:rsidR="00CD4E8B" w:rsidRPr="161C42D0">
        <w:rPr>
          <w:sz w:val="24"/>
          <w:szCs w:val="24"/>
          <w:lang w:eastAsia="en-GB"/>
        </w:rPr>
        <w:t>eam</w:t>
      </w:r>
      <w:r w:rsidR="3FB2A7AF" w:rsidRPr="161C42D0">
        <w:rPr>
          <w:sz w:val="24"/>
          <w:szCs w:val="24"/>
          <w:lang w:eastAsia="en-GB"/>
        </w:rPr>
        <w:t>’s</w:t>
      </w:r>
      <w:r w:rsidR="00CD4E8B" w:rsidRPr="161C42D0">
        <w:rPr>
          <w:sz w:val="24"/>
          <w:szCs w:val="24"/>
          <w:lang w:eastAsia="en-GB"/>
        </w:rPr>
        <w:t xml:space="preserve"> </w:t>
      </w:r>
      <w:r w:rsidR="009259BF" w:rsidRPr="161C42D0">
        <w:rPr>
          <w:sz w:val="24"/>
          <w:szCs w:val="24"/>
          <w:lang w:eastAsia="en-GB"/>
        </w:rPr>
        <w:t xml:space="preserve">role includes: </w:t>
      </w:r>
    </w:p>
    <w:p w14:paraId="2A4E234A" w14:textId="3DE59751" w:rsidR="00CF2C3E" w:rsidRPr="00CF2C3E" w:rsidRDefault="008E56ED" w:rsidP="00CF2C3E">
      <w:pPr>
        <w:pStyle w:val="ListParagraph"/>
        <w:numPr>
          <w:ilvl w:val="0"/>
          <w:numId w:val="1"/>
        </w:numPr>
        <w:spacing w:after="68" w:line="251" w:lineRule="auto"/>
        <w:rPr>
          <w:rFonts w:cs="Calibri"/>
          <w:color w:val="000000"/>
          <w:kern w:val="2"/>
          <w:sz w:val="24"/>
          <w:szCs w:val="24"/>
          <w:lang w:eastAsia="en-GB"/>
          <w14:ligatures w14:val="standardContextual"/>
        </w:rPr>
      </w:pPr>
      <w:r w:rsidRPr="00CF2C3E">
        <w:rPr>
          <w:rFonts w:cs="Calibri"/>
          <w:color w:val="000000"/>
          <w:kern w:val="2"/>
          <w:sz w:val="24"/>
          <w:szCs w:val="24"/>
          <w:lang w:eastAsia="en-GB"/>
          <w14:ligatures w14:val="standardContextual"/>
        </w:rPr>
        <w:t>S</w:t>
      </w:r>
      <w:r w:rsidR="009254F9" w:rsidRPr="00CF2C3E">
        <w:rPr>
          <w:rFonts w:cs="Calibri"/>
          <w:color w:val="000000"/>
          <w:kern w:val="2"/>
          <w:sz w:val="24"/>
          <w:szCs w:val="24"/>
          <w:lang w:eastAsia="en-GB"/>
          <w14:ligatures w14:val="standardContextual"/>
        </w:rPr>
        <w:t>et</w:t>
      </w:r>
      <w:r w:rsidR="7047088C" w:rsidRPr="00CF2C3E">
        <w:rPr>
          <w:rFonts w:cs="Calibri"/>
          <w:color w:val="000000"/>
          <w:kern w:val="2"/>
          <w:sz w:val="24"/>
          <w:szCs w:val="24"/>
          <w:lang w:eastAsia="en-GB"/>
          <w14:ligatures w14:val="standardContextual"/>
        </w:rPr>
        <w:t>ting</w:t>
      </w:r>
      <w:r w:rsidR="009254F9" w:rsidRPr="00CF2C3E">
        <w:rPr>
          <w:rFonts w:cs="Calibri"/>
          <w:color w:val="000000"/>
          <w:kern w:val="2"/>
          <w:sz w:val="24"/>
          <w:szCs w:val="24"/>
          <w:lang w:eastAsia="en-GB"/>
          <w14:ligatures w14:val="standardContextual"/>
        </w:rPr>
        <w:t xml:space="preserve"> up </w:t>
      </w:r>
      <w:r w:rsidR="00BB4720" w:rsidRPr="00CF2C3E">
        <w:rPr>
          <w:rFonts w:cs="Calibri"/>
          <w:color w:val="000000"/>
          <w:kern w:val="2"/>
          <w:sz w:val="24"/>
          <w:szCs w:val="24"/>
          <w:lang w:eastAsia="en-GB"/>
          <w14:ligatures w14:val="standardContextual"/>
        </w:rPr>
        <w:t xml:space="preserve">manual tenancies </w:t>
      </w:r>
      <w:r w:rsidR="00060917" w:rsidRPr="00CF2C3E">
        <w:rPr>
          <w:rFonts w:cs="Calibri"/>
          <w:color w:val="000000"/>
          <w:kern w:val="2"/>
          <w:sz w:val="24"/>
          <w:szCs w:val="24"/>
          <w:lang w:eastAsia="en-GB"/>
          <w14:ligatures w14:val="standardContextual"/>
        </w:rPr>
        <w:t xml:space="preserve">/ rent accounts </w:t>
      </w:r>
      <w:r w:rsidRPr="00CF2C3E">
        <w:rPr>
          <w:rFonts w:cs="Calibri"/>
          <w:color w:val="000000"/>
          <w:kern w:val="2"/>
          <w:sz w:val="24"/>
          <w:szCs w:val="24"/>
          <w:lang w:eastAsia="en-GB"/>
          <w14:ligatures w14:val="standardContextual"/>
        </w:rPr>
        <w:t xml:space="preserve">plus </w:t>
      </w:r>
      <w:r w:rsidR="00BB4720" w:rsidRPr="00CF2C3E">
        <w:rPr>
          <w:rFonts w:cs="Calibri"/>
          <w:color w:val="000000"/>
          <w:kern w:val="2"/>
          <w:sz w:val="24"/>
          <w:szCs w:val="24"/>
          <w:lang w:eastAsia="en-GB"/>
          <w14:ligatures w14:val="standardContextual"/>
        </w:rPr>
        <w:t>court cost accounts</w:t>
      </w:r>
      <w:r w:rsidR="00261867" w:rsidRPr="00CF2C3E">
        <w:rPr>
          <w:rFonts w:cs="Calibri"/>
          <w:color w:val="000000"/>
          <w:kern w:val="2"/>
          <w:sz w:val="24"/>
          <w:szCs w:val="24"/>
          <w:lang w:eastAsia="en-GB"/>
          <w14:ligatures w14:val="standardContextual"/>
        </w:rPr>
        <w:t xml:space="preserve"> where applicable</w:t>
      </w:r>
      <w:r w:rsidR="00060917" w:rsidRPr="00CF2C3E">
        <w:rPr>
          <w:rFonts w:cs="Calibri"/>
          <w:color w:val="000000"/>
          <w:kern w:val="2"/>
          <w:sz w:val="24"/>
          <w:szCs w:val="24"/>
          <w:lang w:eastAsia="en-GB"/>
          <w14:ligatures w14:val="standardContextual"/>
        </w:rPr>
        <w:t xml:space="preserve">. </w:t>
      </w:r>
    </w:p>
    <w:p w14:paraId="01D1CB68" w14:textId="0E80DC80" w:rsidR="00DC2462" w:rsidRDefault="00CF2C3E" w:rsidP="00CF2C3E">
      <w:pPr>
        <w:pStyle w:val="ListParagraph"/>
        <w:numPr>
          <w:ilvl w:val="0"/>
          <w:numId w:val="1"/>
        </w:numPr>
        <w:spacing w:after="68" w:line="251" w:lineRule="auto"/>
        <w:rPr>
          <w:rFonts w:cs="Calibri"/>
          <w:color w:val="000000"/>
          <w:kern w:val="2"/>
          <w:sz w:val="24"/>
          <w:szCs w:val="24"/>
          <w:lang w:eastAsia="en-GB"/>
          <w14:ligatures w14:val="standardContextual"/>
        </w:rPr>
      </w:pPr>
      <w:r w:rsidRPr="00CF2C3E">
        <w:rPr>
          <w:rFonts w:cs="Calibri"/>
          <w:color w:val="000000"/>
          <w:kern w:val="2"/>
          <w:sz w:val="24"/>
          <w:szCs w:val="24"/>
          <w:lang w:eastAsia="en-GB"/>
          <w14:ligatures w14:val="standardContextual"/>
        </w:rPr>
        <w:t>C</w:t>
      </w:r>
      <w:r w:rsidR="00041FDB" w:rsidRPr="00CF2C3E">
        <w:rPr>
          <w:rFonts w:cs="Calibri"/>
          <w:color w:val="000000"/>
          <w:kern w:val="2"/>
          <w:sz w:val="24"/>
          <w:szCs w:val="24"/>
          <w:lang w:eastAsia="en-GB"/>
          <w14:ligatures w14:val="standardContextual"/>
        </w:rPr>
        <w:t>reat</w:t>
      </w:r>
      <w:r w:rsidR="0E8B4514" w:rsidRPr="00CF2C3E">
        <w:rPr>
          <w:rFonts w:cs="Calibri"/>
          <w:color w:val="000000"/>
          <w:kern w:val="2"/>
          <w:sz w:val="24"/>
          <w:szCs w:val="24"/>
          <w:lang w:eastAsia="en-GB"/>
          <w14:ligatures w14:val="standardContextual"/>
        </w:rPr>
        <w:t>ing</w:t>
      </w:r>
      <w:r w:rsidR="00041FDB" w:rsidRPr="00CF2C3E">
        <w:rPr>
          <w:rFonts w:cs="Calibri"/>
          <w:color w:val="000000"/>
          <w:kern w:val="2"/>
          <w:sz w:val="24"/>
          <w:szCs w:val="24"/>
          <w:lang w:eastAsia="en-GB"/>
          <w14:ligatures w14:val="standardContextual"/>
        </w:rPr>
        <w:t xml:space="preserve"> and a</w:t>
      </w:r>
      <w:r w:rsidR="008A1FAD" w:rsidRPr="00CF2C3E">
        <w:rPr>
          <w:rFonts w:cs="Calibri"/>
          <w:color w:val="000000"/>
          <w:kern w:val="2"/>
          <w:sz w:val="24"/>
          <w:szCs w:val="24"/>
          <w:lang w:eastAsia="en-GB"/>
          <w14:ligatures w14:val="standardContextual"/>
        </w:rPr>
        <w:t>mend</w:t>
      </w:r>
      <w:r w:rsidR="794BFFF3" w:rsidRPr="00CF2C3E">
        <w:rPr>
          <w:rFonts w:cs="Calibri"/>
          <w:color w:val="000000"/>
          <w:kern w:val="2"/>
          <w:sz w:val="24"/>
          <w:szCs w:val="24"/>
          <w:lang w:eastAsia="en-GB"/>
          <w14:ligatures w14:val="standardContextual"/>
        </w:rPr>
        <w:t>ing</w:t>
      </w:r>
      <w:r w:rsidR="008A1FAD" w:rsidRPr="00CF2C3E">
        <w:rPr>
          <w:rFonts w:cs="Calibri"/>
          <w:color w:val="000000"/>
          <w:kern w:val="2"/>
          <w:sz w:val="24"/>
          <w:szCs w:val="24"/>
          <w:lang w:eastAsia="en-GB"/>
          <w14:ligatures w14:val="standardContextual"/>
        </w:rPr>
        <w:t xml:space="preserve"> </w:t>
      </w:r>
      <w:r w:rsidR="009254F9" w:rsidRPr="00CF2C3E">
        <w:rPr>
          <w:rFonts w:cs="Calibri"/>
          <w:color w:val="000000"/>
          <w:kern w:val="2"/>
          <w:sz w:val="24"/>
          <w:szCs w:val="24"/>
          <w:lang w:eastAsia="en-GB"/>
          <w14:ligatures w14:val="standardContextual"/>
        </w:rPr>
        <w:t>Direct Debits</w:t>
      </w:r>
      <w:r w:rsidR="005C7ABA">
        <w:rPr>
          <w:rFonts w:cs="Calibri"/>
          <w:color w:val="000000"/>
          <w:kern w:val="2"/>
          <w:sz w:val="24"/>
          <w:szCs w:val="24"/>
          <w:lang w:eastAsia="en-GB"/>
          <w14:ligatures w14:val="standardContextual"/>
        </w:rPr>
        <w:t xml:space="preserve"> and support</w:t>
      </w:r>
      <w:r w:rsidR="1991A26F">
        <w:rPr>
          <w:rFonts w:cs="Calibri"/>
          <w:color w:val="000000"/>
          <w:kern w:val="2"/>
          <w:sz w:val="24"/>
          <w:szCs w:val="24"/>
          <w:lang w:eastAsia="en-GB"/>
          <w14:ligatures w14:val="standardContextual"/>
        </w:rPr>
        <w:t xml:space="preserve">ing </w:t>
      </w:r>
      <w:r w:rsidR="005C7ABA">
        <w:rPr>
          <w:rFonts w:cs="Calibri"/>
          <w:color w:val="000000"/>
          <w:kern w:val="2"/>
          <w:sz w:val="24"/>
          <w:szCs w:val="24"/>
          <w:lang w:eastAsia="en-GB"/>
          <w14:ligatures w14:val="standardContextual"/>
        </w:rPr>
        <w:t xml:space="preserve">with </w:t>
      </w:r>
      <w:r w:rsidR="00DC2462">
        <w:rPr>
          <w:rFonts w:cs="Calibri"/>
          <w:color w:val="000000"/>
          <w:kern w:val="2"/>
          <w:sz w:val="24"/>
          <w:szCs w:val="24"/>
          <w:lang w:eastAsia="en-GB"/>
          <w14:ligatures w14:val="standardContextual"/>
        </w:rPr>
        <w:t xml:space="preserve">associated </w:t>
      </w:r>
      <w:r w:rsidR="005C7ABA">
        <w:rPr>
          <w:rFonts w:cs="Calibri"/>
          <w:color w:val="000000"/>
          <w:kern w:val="2"/>
          <w:sz w:val="24"/>
          <w:szCs w:val="24"/>
          <w:lang w:eastAsia="en-GB"/>
          <w14:ligatures w14:val="standardContextual"/>
        </w:rPr>
        <w:t>queries</w:t>
      </w:r>
      <w:r w:rsidR="00FE3FC8">
        <w:rPr>
          <w:rFonts w:cs="Calibri"/>
          <w:color w:val="000000"/>
          <w:kern w:val="2"/>
          <w:sz w:val="24"/>
          <w:szCs w:val="24"/>
          <w:lang w:eastAsia="en-GB"/>
          <w14:ligatures w14:val="standardContextual"/>
        </w:rPr>
        <w:t>.</w:t>
      </w:r>
    </w:p>
    <w:p w14:paraId="661E90D5" w14:textId="344B7D47" w:rsidR="0046351D" w:rsidRDefault="0046351D" w:rsidP="00CF2C3E">
      <w:pPr>
        <w:pStyle w:val="ListParagraph"/>
        <w:numPr>
          <w:ilvl w:val="0"/>
          <w:numId w:val="1"/>
        </w:numPr>
        <w:spacing w:after="68"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Releas</w:t>
      </w:r>
      <w:r w:rsidR="0981CDD3">
        <w:rPr>
          <w:rFonts w:cs="Calibri"/>
          <w:color w:val="000000"/>
          <w:kern w:val="2"/>
          <w:sz w:val="24"/>
          <w:szCs w:val="24"/>
          <w:lang w:eastAsia="en-GB"/>
          <w14:ligatures w14:val="standardContextual"/>
        </w:rPr>
        <w:t>ing</w:t>
      </w:r>
      <w:r>
        <w:rPr>
          <w:rFonts w:cs="Calibri"/>
          <w:color w:val="000000"/>
          <w:kern w:val="2"/>
          <w:sz w:val="24"/>
          <w:szCs w:val="24"/>
          <w:lang w:eastAsia="en-GB"/>
          <w14:ligatures w14:val="standardContextual"/>
        </w:rPr>
        <w:t xml:space="preserve"> arrears letters </w:t>
      </w:r>
      <w:r w:rsidR="00A724A7">
        <w:rPr>
          <w:rFonts w:cs="Calibri"/>
          <w:color w:val="000000"/>
          <w:kern w:val="2"/>
          <w:sz w:val="24"/>
          <w:szCs w:val="24"/>
          <w:lang w:eastAsia="en-GB"/>
          <w14:ligatures w14:val="standardContextual"/>
        </w:rPr>
        <w:t xml:space="preserve">requested </w:t>
      </w:r>
      <w:r w:rsidR="004B1016">
        <w:rPr>
          <w:rFonts w:cs="Calibri"/>
          <w:color w:val="000000"/>
          <w:kern w:val="2"/>
          <w:sz w:val="24"/>
          <w:szCs w:val="24"/>
          <w:lang w:eastAsia="en-GB"/>
          <w14:ligatures w14:val="standardContextual"/>
        </w:rPr>
        <w:t xml:space="preserve">in </w:t>
      </w:r>
      <w:r w:rsidR="12FF8CA6">
        <w:rPr>
          <w:rFonts w:cs="Calibri"/>
          <w:color w:val="000000"/>
          <w:kern w:val="2"/>
          <w:sz w:val="24"/>
          <w:szCs w:val="24"/>
          <w:lang w:eastAsia="en-GB"/>
          <w14:ligatures w14:val="standardContextual"/>
        </w:rPr>
        <w:t>the housing system</w:t>
      </w:r>
      <w:r w:rsidR="004B1016">
        <w:rPr>
          <w:rFonts w:cs="Calibri"/>
          <w:color w:val="000000"/>
          <w:kern w:val="2"/>
          <w:sz w:val="24"/>
          <w:szCs w:val="24"/>
          <w:lang w:eastAsia="en-GB"/>
          <w14:ligatures w14:val="standardContextual"/>
        </w:rPr>
        <w:t xml:space="preserve"> </w:t>
      </w:r>
      <w:r>
        <w:rPr>
          <w:rFonts w:cs="Calibri"/>
          <w:color w:val="000000"/>
          <w:kern w:val="2"/>
          <w:sz w:val="24"/>
          <w:szCs w:val="24"/>
          <w:lang w:eastAsia="en-GB"/>
          <w14:ligatures w14:val="standardContextual"/>
        </w:rPr>
        <w:t>and forward</w:t>
      </w:r>
      <w:r w:rsidR="194FB611">
        <w:rPr>
          <w:rFonts w:cs="Calibri"/>
          <w:color w:val="000000"/>
          <w:kern w:val="2"/>
          <w:sz w:val="24"/>
          <w:szCs w:val="24"/>
          <w:lang w:eastAsia="en-GB"/>
          <w14:ligatures w14:val="standardContextual"/>
        </w:rPr>
        <w:t>ing these</w:t>
      </w:r>
      <w:r>
        <w:rPr>
          <w:rFonts w:cs="Calibri"/>
          <w:color w:val="000000"/>
          <w:kern w:val="2"/>
          <w:sz w:val="24"/>
          <w:szCs w:val="24"/>
          <w:lang w:eastAsia="en-GB"/>
          <w14:ligatures w14:val="standardContextual"/>
        </w:rPr>
        <w:t xml:space="preserve"> to the scheme manager </w:t>
      </w:r>
    </w:p>
    <w:p w14:paraId="45545110" w14:textId="4F11E32F" w:rsidR="0000652C" w:rsidRDefault="00FE3FC8" w:rsidP="00CF2C3E">
      <w:pPr>
        <w:pStyle w:val="ListParagraph"/>
        <w:numPr>
          <w:ilvl w:val="0"/>
          <w:numId w:val="1"/>
        </w:numPr>
        <w:spacing w:after="68"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C</w:t>
      </w:r>
      <w:r w:rsidR="008A1FAD" w:rsidRPr="00CF2C3E">
        <w:rPr>
          <w:rFonts w:cs="Calibri"/>
          <w:color w:val="000000"/>
          <w:kern w:val="2"/>
          <w:sz w:val="24"/>
          <w:szCs w:val="24"/>
          <w:lang w:eastAsia="en-GB"/>
          <w14:ligatures w14:val="standardContextual"/>
        </w:rPr>
        <w:t>omplet</w:t>
      </w:r>
      <w:r w:rsidR="6F29621E" w:rsidRPr="00CF2C3E">
        <w:rPr>
          <w:rFonts w:cs="Calibri"/>
          <w:color w:val="000000"/>
          <w:kern w:val="2"/>
          <w:sz w:val="24"/>
          <w:szCs w:val="24"/>
          <w:lang w:eastAsia="en-GB"/>
          <w14:ligatures w14:val="standardContextual"/>
        </w:rPr>
        <w:t>ing</w:t>
      </w:r>
      <w:r w:rsidR="008A1FAD" w:rsidRPr="00CF2C3E">
        <w:rPr>
          <w:rFonts w:cs="Calibri"/>
          <w:color w:val="000000"/>
          <w:kern w:val="2"/>
          <w:sz w:val="24"/>
          <w:szCs w:val="24"/>
          <w:lang w:eastAsia="en-GB"/>
          <w14:ligatures w14:val="standardContextual"/>
        </w:rPr>
        <w:t xml:space="preserve"> </w:t>
      </w:r>
      <w:r w:rsidR="001D5B7A" w:rsidRPr="00CF2C3E">
        <w:rPr>
          <w:rFonts w:cs="Calibri"/>
          <w:color w:val="000000"/>
          <w:kern w:val="2"/>
          <w:sz w:val="24"/>
          <w:szCs w:val="24"/>
          <w:lang w:eastAsia="en-GB"/>
          <w14:ligatures w14:val="standardContextual"/>
        </w:rPr>
        <w:t xml:space="preserve">the Possessions Claims </w:t>
      </w:r>
      <w:r w:rsidR="000F59D1" w:rsidRPr="00CF2C3E">
        <w:rPr>
          <w:rFonts w:cs="Calibri"/>
          <w:color w:val="000000"/>
          <w:kern w:val="2"/>
          <w:sz w:val="24"/>
          <w:szCs w:val="24"/>
          <w:lang w:eastAsia="en-GB"/>
          <w14:ligatures w14:val="standardContextual"/>
        </w:rPr>
        <w:t>Online (PCOL) process</w:t>
      </w:r>
      <w:r w:rsidR="00CD4E8B" w:rsidRPr="00CF2C3E">
        <w:rPr>
          <w:rFonts w:cs="Calibri"/>
          <w:color w:val="000000"/>
          <w:kern w:val="2"/>
          <w:sz w:val="24"/>
          <w:szCs w:val="24"/>
          <w:lang w:eastAsia="en-GB"/>
          <w14:ligatures w14:val="standardContextual"/>
        </w:rPr>
        <w:t xml:space="preserve"> and </w:t>
      </w:r>
      <w:r w:rsidR="00025C7F" w:rsidRPr="00CF2C3E">
        <w:rPr>
          <w:rFonts w:cs="Calibri"/>
          <w:color w:val="000000"/>
          <w:kern w:val="2"/>
          <w:sz w:val="24"/>
          <w:szCs w:val="24"/>
          <w:lang w:eastAsia="en-GB"/>
          <w14:ligatures w14:val="standardContextual"/>
        </w:rPr>
        <w:t>apply</w:t>
      </w:r>
      <w:r w:rsidR="2FC05A6F" w:rsidRPr="00CF2C3E">
        <w:rPr>
          <w:rFonts w:cs="Calibri"/>
          <w:color w:val="000000"/>
          <w:kern w:val="2"/>
          <w:sz w:val="24"/>
          <w:szCs w:val="24"/>
          <w:lang w:eastAsia="en-GB"/>
          <w14:ligatures w14:val="standardContextual"/>
        </w:rPr>
        <w:t>ing</w:t>
      </w:r>
      <w:r w:rsidR="00025C7F" w:rsidRPr="00CF2C3E">
        <w:rPr>
          <w:rFonts w:cs="Calibri"/>
          <w:color w:val="000000"/>
          <w:kern w:val="2"/>
          <w:sz w:val="24"/>
          <w:szCs w:val="24"/>
          <w:lang w:eastAsia="en-GB"/>
          <w14:ligatures w14:val="standardContextual"/>
        </w:rPr>
        <w:t xml:space="preserve"> for eviction warrant</w:t>
      </w:r>
      <w:r w:rsidR="00452554" w:rsidRPr="00CF2C3E">
        <w:rPr>
          <w:rFonts w:cs="Calibri"/>
          <w:color w:val="000000"/>
          <w:kern w:val="2"/>
          <w:sz w:val="24"/>
          <w:szCs w:val="24"/>
          <w:lang w:eastAsia="en-GB"/>
          <w14:ligatures w14:val="standardContextual"/>
        </w:rPr>
        <w:t>s</w:t>
      </w:r>
      <w:r w:rsidR="00025C7F" w:rsidRPr="00CF2C3E">
        <w:rPr>
          <w:rFonts w:cs="Calibri"/>
          <w:color w:val="000000"/>
          <w:kern w:val="2"/>
          <w:sz w:val="24"/>
          <w:szCs w:val="24"/>
          <w:lang w:eastAsia="en-GB"/>
          <w14:ligatures w14:val="standardContextual"/>
        </w:rPr>
        <w:t xml:space="preserve"> (the scheme manager and their line manager </w:t>
      </w:r>
      <w:r w:rsidR="00F1566E" w:rsidRPr="00CF2C3E">
        <w:rPr>
          <w:rFonts w:cs="Calibri"/>
          <w:color w:val="000000"/>
          <w:kern w:val="2"/>
          <w:sz w:val="24"/>
          <w:szCs w:val="24"/>
          <w:lang w:eastAsia="en-GB"/>
          <w14:ligatures w14:val="standardContextual"/>
        </w:rPr>
        <w:t xml:space="preserve">will attend the eviction). </w:t>
      </w:r>
    </w:p>
    <w:p w14:paraId="01101462" w14:textId="7C456C78" w:rsidR="00262FC9" w:rsidRDefault="0000652C" w:rsidP="00CF2C3E">
      <w:pPr>
        <w:pStyle w:val="ListParagraph"/>
        <w:numPr>
          <w:ilvl w:val="0"/>
          <w:numId w:val="1"/>
        </w:numPr>
        <w:spacing w:after="68"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A</w:t>
      </w:r>
      <w:r w:rsidR="00F1566E" w:rsidRPr="00CF2C3E">
        <w:rPr>
          <w:rFonts w:cs="Calibri"/>
          <w:color w:val="000000"/>
          <w:kern w:val="2"/>
          <w:sz w:val="24"/>
          <w:szCs w:val="24"/>
          <w:lang w:eastAsia="en-GB"/>
          <w14:ligatures w14:val="standardContextual"/>
        </w:rPr>
        <w:t>ct</w:t>
      </w:r>
      <w:r w:rsidR="327404C0" w:rsidRPr="00CF2C3E">
        <w:rPr>
          <w:rFonts w:cs="Calibri"/>
          <w:color w:val="000000"/>
          <w:kern w:val="2"/>
          <w:sz w:val="24"/>
          <w:szCs w:val="24"/>
          <w:lang w:eastAsia="en-GB"/>
          <w14:ligatures w14:val="standardContextual"/>
        </w:rPr>
        <w:t xml:space="preserve">ing </w:t>
      </w:r>
      <w:r w:rsidR="00F1566E" w:rsidRPr="00CF2C3E">
        <w:rPr>
          <w:rFonts w:cs="Calibri"/>
          <w:color w:val="000000"/>
          <w:kern w:val="2"/>
          <w:sz w:val="24"/>
          <w:szCs w:val="24"/>
          <w:lang w:eastAsia="en-GB"/>
          <w14:ligatures w14:val="standardContextual"/>
        </w:rPr>
        <w:t xml:space="preserve">as a point of contact </w:t>
      </w:r>
      <w:r w:rsidR="002B7E23" w:rsidRPr="00CF2C3E">
        <w:rPr>
          <w:rFonts w:cs="Calibri"/>
          <w:color w:val="000000"/>
          <w:kern w:val="2"/>
          <w:sz w:val="24"/>
          <w:szCs w:val="24"/>
          <w:lang w:eastAsia="en-GB"/>
          <w14:ligatures w14:val="standardContextual"/>
        </w:rPr>
        <w:t>with</w:t>
      </w:r>
      <w:r w:rsidR="00B52CD6" w:rsidRPr="00CF2C3E">
        <w:rPr>
          <w:rFonts w:cs="Calibri"/>
          <w:color w:val="000000"/>
          <w:kern w:val="2"/>
          <w:sz w:val="24"/>
          <w:szCs w:val="24"/>
          <w:lang w:eastAsia="en-GB"/>
          <w14:ligatures w14:val="standardContextual"/>
        </w:rPr>
        <w:t xml:space="preserve"> the Department for Work and </w:t>
      </w:r>
      <w:r w:rsidR="00B26FFA" w:rsidRPr="00CF2C3E">
        <w:rPr>
          <w:rFonts w:cs="Calibri"/>
          <w:color w:val="000000"/>
          <w:kern w:val="2"/>
          <w:sz w:val="24"/>
          <w:szCs w:val="24"/>
          <w:lang w:eastAsia="en-GB"/>
          <w14:ligatures w14:val="standardContextual"/>
        </w:rPr>
        <w:t>Pensions regarding</w:t>
      </w:r>
      <w:r w:rsidR="00B52CD6" w:rsidRPr="00CF2C3E">
        <w:rPr>
          <w:rFonts w:cs="Calibri"/>
          <w:color w:val="000000"/>
          <w:kern w:val="2"/>
          <w:sz w:val="24"/>
          <w:szCs w:val="24"/>
          <w:lang w:eastAsia="en-GB"/>
          <w14:ligatures w14:val="standardContextual"/>
        </w:rPr>
        <w:t xml:space="preserve"> Universal Credit </w:t>
      </w:r>
      <w:r w:rsidR="0057643D" w:rsidRPr="00CF2C3E">
        <w:rPr>
          <w:rFonts w:cs="Calibri"/>
          <w:color w:val="000000"/>
          <w:kern w:val="2"/>
          <w:sz w:val="24"/>
          <w:szCs w:val="24"/>
          <w:lang w:eastAsia="en-GB"/>
          <w14:ligatures w14:val="standardContextual"/>
        </w:rPr>
        <w:t>payments</w:t>
      </w:r>
      <w:r w:rsidR="000F59D1" w:rsidRPr="00CF2C3E">
        <w:rPr>
          <w:rFonts w:cs="Calibri"/>
          <w:color w:val="000000"/>
          <w:kern w:val="2"/>
          <w:sz w:val="24"/>
          <w:szCs w:val="24"/>
          <w:lang w:eastAsia="en-GB"/>
          <w14:ligatures w14:val="standardContextual"/>
        </w:rPr>
        <w:t xml:space="preserve">. </w:t>
      </w:r>
      <w:r w:rsidR="009254F9" w:rsidRPr="00CF2C3E">
        <w:rPr>
          <w:rFonts w:cs="Calibri"/>
          <w:color w:val="000000"/>
          <w:kern w:val="2"/>
          <w:sz w:val="24"/>
          <w:szCs w:val="24"/>
          <w:lang w:eastAsia="en-GB"/>
          <w14:ligatures w14:val="standardContextual"/>
        </w:rPr>
        <w:t xml:space="preserve"> </w:t>
      </w:r>
      <w:r w:rsidR="00262FC9" w:rsidRPr="00CF2C3E">
        <w:rPr>
          <w:rFonts w:cs="Calibri"/>
          <w:color w:val="000000"/>
          <w:kern w:val="2"/>
          <w:sz w:val="24"/>
          <w:szCs w:val="24"/>
          <w:lang w:eastAsia="en-GB"/>
          <w14:ligatures w14:val="standardContextual"/>
        </w:rPr>
        <w:t xml:space="preserve"> </w:t>
      </w:r>
    </w:p>
    <w:p w14:paraId="0F433D51" w14:textId="2E1C2CB1" w:rsidR="0057493D" w:rsidRDefault="7AF2DB89" w:rsidP="00097537">
      <w:pPr>
        <w:pStyle w:val="ListParagraph"/>
        <w:numPr>
          <w:ilvl w:val="0"/>
          <w:numId w:val="1"/>
        </w:numPr>
        <w:spacing w:after="68" w:line="251" w:lineRule="auto"/>
        <w:rPr>
          <w:sz w:val="24"/>
          <w:szCs w:val="24"/>
          <w:lang w:eastAsia="en-GB"/>
        </w:rPr>
      </w:pPr>
      <w:r>
        <w:rPr>
          <w:rFonts w:cs="Calibri"/>
          <w:color w:val="000000"/>
          <w:kern w:val="2"/>
          <w:sz w:val="24"/>
          <w:szCs w:val="24"/>
          <w:lang w:eastAsia="en-GB"/>
          <w14:ligatures w14:val="standardContextual"/>
        </w:rPr>
        <w:t>R</w:t>
      </w:r>
      <w:r w:rsidR="00850AD5" w:rsidRPr="0000652C">
        <w:rPr>
          <w:sz w:val="24"/>
          <w:szCs w:val="24"/>
          <w:lang w:eastAsia="en-GB"/>
        </w:rPr>
        <w:t>esponsib</w:t>
      </w:r>
      <w:r w:rsidR="221DD2FC" w:rsidRPr="0000652C">
        <w:rPr>
          <w:sz w:val="24"/>
          <w:szCs w:val="24"/>
          <w:lang w:eastAsia="en-GB"/>
        </w:rPr>
        <w:t>ility</w:t>
      </w:r>
      <w:r w:rsidR="00850AD5" w:rsidRPr="0000652C">
        <w:rPr>
          <w:sz w:val="24"/>
          <w:szCs w:val="24"/>
          <w:lang w:eastAsia="en-GB"/>
        </w:rPr>
        <w:t xml:space="preserve"> for </w:t>
      </w:r>
      <w:r w:rsidR="00880BC2" w:rsidRPr="0000652C">
        <w:rPr>
          <w:sz w:val="24"/>
          <w:szCs w:val="24"/>
          <w:lang w:eastAsia="en-GB"/>
        </w:rPr>
        <w:t xml:space="preserve">the </w:t>
      </w:r>
      <w:r w:rsidR="00850AD5" w:rsidRPr="0000652C">
        <w:rPr>
          <w:sz w:val="24"/>
          <w:szCs w:val="24"/>
          <w:lang w:eastAsia="en-GB"/>
        </w:rPr>
        <w:t>management, recovery and reporting of former arrears and credit balances</w:t>
      </w:r>
      <w:r w:rsidR="00C61FFF" w:rsidRPr="0000652C">
        <w:rPr>
          <w:sz w:val="24"/>
          <w:szCs w:val="24"/>
          <w:lang w:eastAsia="en-GB"/>
        </w:rPr>
        <w:t>.</w:t>
      </w:r>
      <w:r w:rsidR="00035F2C" w:rsidRPr="0000652C">
        <w:rPr>
          <w:sz w:val="24"/>
          <w:szCs w:val="24"/>
          <w:lang w:eastAsia="en-GB"/>
        </w:rPr>
        <w:t xml:space="preserve"> They are also </w:t>
      </w:r>
      <w:r w:rsidR="0057493D" w:rsidRPr="0000652C">
        <w:rPr>
          <w:sz w:val="24"/>
          <w:szCs w:val="24"/>
          <w:lang w:eastAsia="en-GB"/>
        </w:rPr>
        <w:t>responsible for</w:t>
      </w:r>
      <w:r w:rsidR="001A4F85" w:rsidRPr="0000652C">
        <w:rPr>
          <w:sz w:val="24"/>
          <w:szCs w:val="24"/>
          <w:lang w:eastAsia="en-GB"/>
        </w:rPr>
        <w:t xml:space="preserve"> </w:t>
      </w:r>
      <w:r w:rsidR="00796C26" w:rsidRPr="0000652C">
        <w:rPr>
          <w:sz w:val="24"/>
          <w:szCs w:val="24"/>
          <w:lang w:eastAsia="en-GB"/>
        </w:rPr>
        <w:t xml:space="preserve">“writing off” unrecoverable debts and </w:t>
      </w:r>
      <w:r w:rsidR="0057493D" w:rsidRPr="0000652C">
        <w:rPr>
          <w:sz w:val="24"/>
          <w:szCs w:val="24"/>
          <w:lang w:eastAsia="en-GB"/>
        </w:rPr>
        <w:t>referring cases to our 3rd party Debt Management partner</w:t>
      </w:r>
      <w:r w:rsidR="6F4727D6" w:rsidRPr="0000652C">
        <w:rPr>
          <w:sz w:val="24"/>
          <w:szCs w:val="24"/>
          <w:lang w:eastAsia="en-GB"/>
        </w:rPr>
        <w:t xml:space="preserve"> – currently</w:t>
      </w:r>
      <w:r w:rsidR="0057493D" w:rsidRPr="0000652C">
        <w:rPr>
          <w:sz w:val="24"/>
          <w:szCs w:val="24"/>
          <w:lang w:eastAsia="en-GB"/>
        </w:rPr>
        <w:t xml:space="preserve"> Sinclair Taylor</w:t>
      </w:r>
      <w:r w:rsidR="00035F2C" w:rsidRPr="0000652C">
        <w:rPr>
          <w:sz w:val="24"/>
          <w:szCs w:val="24"/>
          <w:lang w:eastAsia="en-GB"/>
        </w:rPr>
        <w:t xml:space="preserve">. </w:t>
      </w:r>
    </w:p>
    <w:p w14:paraId="6A163639" w14:textId="6E3EB375" w:rsidR="006217BE" w:rsidRDefault="006B5528" w:rsidP="006217BE">
      <w:pPr>
        <w:spacing w:after="68" w:line="251" w:lineRule="auto"/>
        <w:rPr>
          <w:sz w:val="24"/>
          <w:szCs w:val="24"/>
          <w:lang w:eastAsia="en-GB"/>
        </w:rPr>
      </w:pPr>
      <w:r>
        <w:rPr>
          <w:sz w:val="24"/>
          <w:szCs w:val="24"/>
          <w:lang w:eastAsia="en-GB"/>
        </w:rPr>
        <w:t xml:space="preserve">Oldham PFI </w:t>
      </w:r>
      <w:r w:rsidR="004306CB">
        <w:rPr>
          <w:sz w:val="24"/>
          <w:szCs w:val="24"/>
          <w:lang w:eastAsia="en-GB"/>
        </w:rPr>
        <w:t>arrears are m</w:t>
      </w:r>
      <w:r w:rsidR="002419C5">
        <w:rPr>
          <w:sz w:val="24"/>
          <w:szCs w:val="24"/>
          <w:lang w:eastAsia="en-GB"/>
        </w:rPr>
        <w:t>a</w:t>
      </w:r>
      <w:r w:rsidR="004306CB">
        <w:rPr>
          <w:sz w:val="24"/>
          <w:szCs w:val="24"/>
          <w:lang w:eastAsia="en-GB"/>
        </w:rPr>
        <w:t xml:space="preserve">naged by </w:t>
      </w:r>
      <w:r w:rsidR="002419C5">
        <w:rPr>
          <w:sz w:val="24"/>
          <w:szCs w:val="24"/>
          <w:lang w:eastAsia="en-GB"/>
        </w:rPr>
        <w:t>t</w:t>
      </w:r>
      <w:r w:rsidR="0035269C">
        <w:rPr>
          <w:sz w:val="24"/>
          <w:szCs w:val="24"/>
          <w:lang w:eastAsia="en-GB"/>
        </w:rPr>
        <w:t xml:space="preserve">he Customer Services Team and the </w:t>
      </w:r>
      <w:r w:rsidR="009E3CF0">
        <w:rPr>
          <w:sz w:val="24"/>
          <w:szCs w:val="24"/>
          <w:lang w:eastAsia="en-GB"/>
        </w:rPr>
        <w:t>n</w:t>
      </w:r>
      <w:r w:rsidR="0035269C">
        <w:rPr>
          <w:sz w:val="24"/>
          <w:szCs w:val="24"/>
          <w:lang w:eastAsia="en-GB"/>
        </w:rPr>
        <w:t xml:space="preserve">eighbourhood </w:t>
      </w:r>
      <w:r w:rsidR="009E3CF0">
        <w:rPr>
          <w:sz w:val="24"/>
          <w:szCs w:val="24"/>
          <w:lang w:eastAsia="en-GB"/>
        </w:rPr>
        <w:t>m</w:t>
      </w:r>
      <w:r w:rsidR="0035269C">
        <w:rPr>
          <w:sz w:val="24"/>
          <w:szCs w:val="24"/>
          <w:lang w:eastAsia="en-GB"/>
        </w:rPr>
        <w:t>anagers</w:t>
      </w:r>
      <w:r w:rsidR="00C356D7">
        <w:rPr>
          <w:sz w:val="24"/>
          <w:szCs w:val="24"/>
          <w:lang w:eastAsia="en-GB"/>
        </w:rPr>
        <w:t>,</w:t>
      </w:r>
      <w:r w:rsidR="0035269C">
        <w:rPr>
          <w:sz w:val="24"/>
          <w:szCs w:val="24"/>
          <w:lang w:eastAsia="en-GB"/>
        </w:rPr>
        <w:t xml:space="preserve"> </w:t>
      </w:r>
      <w:r w:rsidR="00593715">
        <w:rPr>
          <w:sz w:val="24"/>
          <w:szCs w:val="24"/>
          <w:lang w:eastAsia="en-GB"/>
        </w:rPr>
        <w:t xml:space="preserve">with support from Oldham Council Legal Services. </w:t>
      </w:r>
      <w:r w:rsidR="00BC6AF8">
        <w:rPr>
          <w:sz w:val="24"/>
          <w:szCs w:val="24"/>
          <w:lang w:eastAsia="en-GB"/>
        </w:rPr>
        <w:t xml:space="preserve">Arrears performance is reported to Oldham Council. </w:t>
      </w:r>
    </w:p>
    <w:p w14:paraId="54B4244F" w14:textId="77777777" w:rsidR="00BC6AF8" w:rsidRPr="005108BB" w:rsidRDefault="00BC6AF8" w:rsidP="005108BB">
      <w:pPr>
        <w:pStyle w:val="NoSpacing"/>
      </w:pPr>
    </w:p>
    <w:p w14:paraId="6F8F2AB3" w14:textId="5360D384" w:rsidR="00063F3D" w:rsidRPr="00FC01F5" w:rsidRDefault="47866A20" w:rsidP="00A94323">
      <w:pPr>
        <w:pStyle w:val="Heading2"/>
        <w:rPr>
          <w:rFonts w:eastAsia="Calibri"/>
        </w:rPr>
      </w:pPr>
      <w:bookmarkStart w:id="8" w:name="_Toc184985243"/>
      <w:r w:rsidRPr="05F05E5F">
        <w:rPr>
          <w:rFonts w:eastAsia="Calibri"/>
        </w:rPr>
        <w:t>‘</w:t>
      </w:r>
      <w:r w:rsidR="00063F3D" w:rsidRPr="05F05E5F">
        <w:rPr>
          <w:rFonts w:eastAsia="Calibri"/>
        </w:rPr>
        <w:t xml:space="preserve">Collect </w:t>
      </w:r>
      <w:r w:rsidR="00AB44A2" w:rsidRPr="05F05E5F">
        <w:rPr>
          <w:rFonts w:eastAsia="Calibri"/>
        </w:rPr>
        <w:t>W</w:t>
      </w:r>
      <w:r w:rsidR="00063F3D" w:rsidRPr="05F05E5F">
        <w:rPr>
          <w:rFonts w:eastAsia="Calibri"/>
        </w:rPr>
        <w:t xml:space="preserve">ith </w:t>
      </w:r>
      <w:r w:rsidR="00AB44A2" w:rsidRPr="05F05E5F">
        <w:rPr>
          <w:rFonts w:eastAsia="Calibri"/>
        </w:rPr>
        <w:t>C</w:t>
      </w:r>
      <w:r w:rsidR="00063F3D" w:rsidRPr="05F05E5F">
        <w:rPr>
          <w:rFonts w:eastAsia="Calibri"/>
        </w:rPr>
        <w:t>are</w:t>
      </w:r>
      <w:r w:rsidR="3309AA31" w:rsidRPr="05F05E5F">
        <w:rPr>
          <w:rFonts w:eastAsia="Calibri"/>
        </w:rPr>
        <w:t>’</w:t>
      </w:r>
      <w:r w:rsidR="00063F3D" w:rsidRPr="05F05E5F">
        <w:rPr>
          <w:rFonts w:eastAsia="Calibri"/>
        </w:rPr>
        <w:t xml:space="preserve"> </w:t>
      </w:r>
      <w:r w:rsidR="00AB44A2" w:rsidRPr="05F05E5F">
        <w:rPr>
          <w:rFonts w:eastAsia="Calibri"/>
        </w:rPr>
        <w:t>A</w:t>
      </w:r>
      <w:r w:rsidR="00063F3D" w:rsidRPr="05F05E5F">
        <w:rPr>
          <w:rFonts w:eastAsia="Calibri"/>
        </w:rPr>
        <w:t>pproach</w:t>
      </w:r>
      <w:bookmarkEnd w:id="8"/>
    </w:p>
    <w:p w14:paraId="28E224A9" w14:textId="21D497E0" w:rsidR="00EB098B" w:rsidRPr="00FC01F5" w:rsidRDefault="001E4C2D" w:rsidP="00EB098B">
      <w:pPr>
        <w:spacing w:after="4"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 xml:space="preserve">As a supported housing </w:t>
      </w:r>
      <w:r w:rsidR="00442AAD">
        <w:rPr>
          <w:rFonts w:cs="Calibri"/>
          <w:color w:val="000000"/>
          <w:kern w:val="2"/>
          <w:sz w:val="24"/>
          <w:szCs w:val="24"/>
          <w:lang w:eastAsia="en-GB"/>
          <w14:ligatures w14:val="standardContextual"/>
        </w:rPr>
        <w:t>provider,</w:t>
      </w:r>
      <w:r>
        <w:rPr>
          <w:rFonts w:cs="Calibri"/>
          <w:color w:val="000000"/>
          <w:kern w:val="2"/>
          <w:sz w:val="24"/>
          <w:szCs w:val="24"/>
          <w:lang w:eastAsia="en-GB"/>
          <w14:ligatures w14:val="standardContextual"/>
        </w:rPr>
        <w:t xml:space="preserve"> we </w:t>
      </w:r>
      <w:r w:rsidR="00442AAD">
        <w:rPr>
          <w:rFonts w:cs="Calibri"/>
          <w:color w:val="000000"/>
          <w:kern w:val="2"/>
          <w:sz w:val="24"/>
          <w:szCs w:val="24"/>
          <w:lang w:eastAsia="en-GB"/>
          <w14:ligatures w14:val="standardContextual"/>
        </w:rPr>
        <w:t xml:space="preserve">aim to </w:t>
      </w:r>
      <w:r w:rsidR="00002986">
        <w:rPr>
          <w:rFonts w:cs="Calibri"/>
          <w:color w:val="000000"/>
          <w:kern w:val="2"/>
          <w:sz w:val="24"/>
          <w:szCs w:val="24"/>
          <w:lang w:eastAsia="en-GB"/>
          <w14:ligatures w14:val="standardContextual"/>
        </w:rPr>
        <w:t>put people before numbers</w:t>
      </w:r>
      <w:r w:rsidR="0030174F">
        <w:rPr>
          <w:rFonts w:cs="Calibri"/>
          <w:color w:val="000000"/>
          <w:kern w:val="2"/>
          <w:sz w:val="24"/>
          <w:szCs w:val="24"/>
          <w:lang w:eastAsia="en-GB"/>
          <w14:ligatures w14:val="standardContextual"/>
        </w:rPr>
        <w:t xml:space="preserve">, treating our residents as individuals and </w:t>
      </w:r>
      <w:r w:rsidR="00D8511B">
        <w:rPr>
          <w:rFonts w:cs="Calibri"/>
          <w:color w:val="000000"/>
          <w:kern w:val="2"/>
          <w:sz w:val="24"/>
          <w:szCs w:val="24"/>
          <w:lang w:eastAsia="en-GB"/>
          <w14:ligatures w14:val="standardContextual"/>
        </w:rPr>
        <w:t xml:space="preserve">tailoring our approach </w:t>
      </w:r>
      <w:r w:rsidR="00AA0FA9">
        <w:rPr>
          <w:rFonts w:cs="Calibri"/>
          <w:color w:val="000000"/>
          <w:kern w:val="2"/>
          <w:sz w:val="24"/>
          <w:szCs w:val="24"/>
          <w:lang w:eastAsia="en-GB"/>
          <w14:ligatures w14:val="standardContextual"/>
        </w:rPr>
        <w:t xml:space="preserve">to ensure we </w:t>
      </w:r>
      <w:r w:rsidR="6E9C61F1">
        <w:rPr>
          <w:rFonts w:cs="Calibri"/>
          <w:color w:val="000000"/>
          <w:kern w:val="2"/>
          <w:sz w:val="24"/>
          <w:szCs w:val="24"/>
          <w:lang w:eastAsia="en-GB"/>
          <w14:ligatures w14:val="standardContextual"/>
        </w:rPr>
        <w:t>‘</w:t>
      </w:r>
      <w:r w:rsidR="001C7C34">
        <w:rPr>
          <w:rFonts w:cs="Calibri"/>
          <w:color w:val="000000"/>
          <w:kern w:val="2"/>
          <w:sz w:val="24"/>
          <w:szCs w:val="24"/>
          <w:lang w:eastAsia="en-GB"/>
          <w14:ligatures w14:val="standardContextual"/>
        </w:rPr>
        <w:t>C</w:t>
      </w:r>
      <w:r w:rsidR="00AA0FA9">
        <w:rPr>
          <w:rFonts w:cs="Calibri"/>
          <w:color w:val="000000"/>
          <w:kern w:val="2"/>
          <w:sz w:val="24"/>
          <w:szCs w:val="24"/>
          <w:lang w:eastAsia="en-GB"/>
          <w14:ligatures w14:val="standardContextual"/>
        </w:rPr>
        <w:t xml:space="preserve">ollect with </w:t>
      </w:r>
      <w:r w:rsidR="001C7C34">
        <w:rPr>
          <w:rFonts w:cs="Calibri"/>
          <w:color w:val="000000"/>
          <w:kern w:val="2"/>
          <w:sz w:val="24"/>
          <w:szCs w:val="24"/>
          <w:lang w:eastAsia="en-GB"/>
          <w14:ligatures w14:val="standardContextual"/>
        </w:rPr>
        <w:t>C</w:t>
      </w:r>
      <w:r w:rsidR="00AA0FA9">
        <w:rPr>
          <w:rFonts w:cs="Calibri"/>
          <w:color w:val="000000"/>
          <w:kern w:val="2"/>
          <w:sz w:val="24"/>
          <w:szCs w:val="24"/>
          <w:lang w:eastAsia="en-GB"/>
          <w14:ligatures w14:val="standardContextual"/>
        </w:rPr>
        <w:t>are</w:t>
      </w:r>
      <w:r w:rsidR="46F1A828">
        <w:rPr>
          <w:rFonts w:cs="Calibri"/>
          <w:color w:val="000000"/>
          <w:kern w:val="2"/>
          <w:sz w:val="24"/>
          <w:szCs w:val="24"/>
          <w:lang w:eastAsia="en-GB"/>
          <w14:ligatures w14:val="standardContextual"/>
        </w:rPr>
        <w:t>’</w:t>
      </w:r>
      <w:r w:rsidR="00AA0FA9">
        <w:rPr>
          <w:rFonts w:cs="Calibri"/>
          <w:color w:val="000000"/>
          <w:kern w:val="2"/>
          <w:sz w:val="24"/>
          <w:szCs w:val="24"/>
          <w:lang w:eastAsia="en-GB"/>
          <w14:ligatures w14:val="standardContextual"/>
        </w:rPr>
        <w:t xml:space="preserve">. </w:t>
      </w:r>
      <w:r w:rsidR="00EB098B" w:rsidRPr="00FC01F5">
        <w:rPr>
          <w:rFonts w:cs="Calibri"/>
          <w:color w:val="000000"/>
          <w:kern w:val="2"/>
          <w:sz w:val="24"/>
          <w:szCs w:val="24"/>
          <w:lang w:eastAsia="en-GB"/>
          <w14:ligatures w14:val="standardContextual"/>
        </w:rPr>
        <w:t>We recognise that residents may from time-to-time experience financial difficulties</w:t>
      </w:r>
      <w:r w:rsidR="00AA0FA9">
        <w:rPr>
          <w:rFonts w:cs="Calibri"/>
          <w:color w:val="000000"/>
          <w:kern w:val="2"/>
          <w:sz w:val="24"/>
          <w:szCs w:val="24"/>
          <w:lang w:eastAsia="en-GB"/>
          <w14:ligatures w14:val="standardContextual"/>
        </w:rPr>
        <w:t xml:space="preserve"> or other</w:t>
      </w:r>
      <w:r w:rsidR="002C58A2">
        <w:rPr>
          <w:rFonts w:cs="Calibri"/>
          <w:color w:val="000000"/>
          <w:kern w:val="2"/>
          <w:sz w:val="24"/>
          <w:szCs w:val="24"/>
          <w:lang w:eastAsia="en-GB"/>
          <w14:ligatures w14:val="standardContextual"/>
        </w:rPr>
        <w:t xml:space="preserve"> difficulties including mental health issues</w:t>
      </w:r>
      <w:r w:rsidR="00EB098B" w:rsidRPr="00FC01F5">
        <w:rPr>
          <w:rFonts w:cs="Calibri"/>
          <w:color w:val="000000"/>
          <w:kern w:val="2"/>
          <w:sz w:val="24"/>
          <w:szCs w:val="24"/>
          <w:lang w:eastAsia="en-GB"/>
          <w14:ligatures w14:val="standardContextual"/>
        </w:rPr>
        <w:t xml:space="preserve">. In order to assist and take steps to prevent the build-up of arrears, we will give </w:t>
      </w:r>
      <w:r w:rsidR="00DB543E" w:rsidRPr="00FC01F5">
        <w:rPr>
          <w:rFonts w:cs="Calibri"/>
          <w:color w:val="000000"/>
          <w:kern w:val="2"/>
          <w:sz w:val="24"/>
          <w:szCs w:val="24"/>
          <w:lang w:eastAsia="en-GB"/>
          <w14:ligatures w14:val="standardContextual"/>
        </w:rPr>
        <w:t xml:space="preserve">them </w:t>
      </w:r>
      <w:r w:rsidR="00EB098B" w:rsidRPr="00FC01F5">
        <w:rPr>
          <w:rFonts w:cs="Calibri"/>
          <w:color w:val="000000"/>
          <w:kern w:val="2"/>
          <w:sz w:val="24"/>
          <w:szCs w:val="24"/>
          <w:lang w:eastAsia="en-GB"/>
          <w14:ligatures w14:val="standardContextual"/>
        </w:rPr>
        <w:t>a ‘helping hand’</w:t>
      </w:r>
      <w:r w:rsidR="00CD7B71">
        <w:rPr>
          <w:rFonts w:cs="Calibri"/>
          <w:color w:val="000000"/>
          <w:kern w:val="2"/>
          <w:sz w:val="24"/>
          <w:szCs w:val="24"/>
          <w:lang w:eastAsia="en-GB"/>
          <w14:ligatures w14:val="standardContextual"/>
        </w:rPr>
        <w:t xml:space="preserve"> by</w:t>
      </w:r>
      <w:r w:rsidR="00EB098B" w:rsidRPr="00FC01F5">
        <w:rPr>
          <w:rFonts w:cs="Calibri"/>
          <w:color w:val="000000"/>
          <w:kern w:val="2"/>
          <w:sz w:val="24"/>
          <w:szCs w:val="24"/>
          <w:lang w:eastAsia="en-GB"/>
          <w14:ligatures w14:val="standardContextual"/>
        </w:rPr>
        <w:t xml:space="preserve">: </w:t>
      </w:r>
    </w:p>
    <w:p w14:paraId="06A5333A" w14:textId="77777777" w:rsidR="00EB098B" w:rsidRPr="00FC01F5" w:rsidRDefault="00EB098B" w:rsidP="00EB098B">
      <w:pPr>
        <w:spacing w:after="57" w:line="259" w:lineRule="auto"/>
        <w:ind w:left="924"/>
        <w:rPr>
          <w:rFonts w:cs="Calibri"/>
          <w:color w:val="000000"/>
          <w:kern w:val="2"/>
          <w:sz w:val="24"/>
          <w:szCs w:val="24"/>
          <w:lang w:eastAsia="en-GB"/>
          <w14:ligatures w14:val="standardContextual"/>
        </w:rPr>
      </w:pPr>
      <w:r w:rsidRPr="00FC01F5">
        <w:rPr>
          <w:rFonts w:cs="Calibri"/>
          <w:color w:val="000000"/>
          <w:kern w:val="2"/>
          <w:sz w:val="24"/>
          <w:szCs w:val="24"/>
          <w:lang w:eastAsia="en-GB"/>
          <w14:ligatures w14:val="standardContextual"/>
        </w:rPr>
        <w:t xml:space="preserve"> </w:t>
      </w:r>
    </w:p>
    <w:p w14:paraId="53EACE79" w14:textId="45928A54" w:rsidR="00AB0107" w:rsidRDefault="00CD7B71" w:rsidP="006F3913">
      <w:pPr>
        <w:pStyle w:val="ListParagraph"/>
        <w:numPr>
          <w:ilvl w:val="0"/>
          <w:numId w:val="1"/>
        </w:numPr>
        <w:spacing w:after="68"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P</w:t>
      </w:r>
      <w:r w:rsidR="00D85EA7">
        <w:rPr>
          <w:rFonts w:cs="Calibri"/>
          <w:color w:val="000000"/>
          <w:kern w:val="2"/>
          <w:sz w:val="24"/>
          <w:szCs w:val="24"/>
          <w:lang w:eastAsia="en-GB"/>
          <w14:ligatures w14:val="standardContextual"/>
        </w:rPr>
        <w:t>roviding a caring</w:t>
      </w:r>
      <w:r w:rsidR="00D559F7">
        <w:rPr>
          <w:rFonts w:cs="Calibri"/>
          <w:color w:val="000000"/>
          <w:kern w:val="2"/>
          <w:sz w:val="24"/>
          <w:szCs w:val="24"/>
          <w:lang w:eastAsia="en-GB"/>
          <w14:ligatures w14:val="standardContextual"/>
        </w:rPr>
        <w:t xml:space="preserve"> and</w:t>
      </w:r>
      <w:r w:rsidR="00D85EA7">
        <w:rPr>
          <w:rFonts w:cs="Calibri"/>
          <w:color w:val="000000"/>
          <w:kern w:val="2"/>
          <w:sz w:val="24"/>
          <w:szCs w:val="24"/>
          <w:lang w:eastAsia="en-GB"/>
          <w14:ligatures w14:val="standardContextual"/>
        </w:rPr>
        <w:t xml:space="preserve"> supportive environment</w:t>
      </w:r>
      <w:r w:rsidR="0069793F">
        <w:rPr>
          <w:rFonts w:cs="Calibri"/>
          <w:color w:val="000000"/>
          <w:kern w:val="2"/>
          <w:sz w:val="24"/>
          <w:szCs w:val="24"/>
          <w:lang w:eastAsia="en-GB"/>
          <w14:ligatures w14:val="standardContextual"/>
        </w:rPr>
        <w:t xml:space="preserve">, listening to </w:t>
      </w:r>
      <w:r w:rsidR="005E16C4">
        <w:rPr>
          <w:rFonts w:cs="Calibri"/>
          <w:color w:val="000000"/>
          <w:kern w:val="2"/>
          <w:sz w:val="24"/>
          <w:szCs w:val="24"/>
          <w:lang w:eastAsia="en-GB"/>
          <w14:ligatures w14:val="standardContextual"/>
        </w:rPr>
        <w:t>residents</w:t>
      </w:r>
      <w:r w:rsidR="003E07CB">
        <w:rPr>
          <w:rFonts w:cs="Calibri"/>
          <w:color w:val="000000"/>
          <w:kern w:val="2"/>
          <w:sz w:val="24"/>
          <w:szCs w:val="24"/>
          <w:lang w:eastAsia="en-GB"/>
          <w14:ligatures w14:val="standardContextual"/>
        </w:rPr>
        <w:t xml:space="preserve"> </w:t>
      </w:r>
      <w:r w:rsidR="00AA5DAE">
        <w:rPr>
          <w:rFonts w:cs="Calibri"/>
          <w:color w:val="000000"/>
          <w:kern w:val="2"/>
          <w:sz w:val="24"/>
          <w:szCs w:val="24"/>
          <w:lang w:eastAsia="en-GB"/>
          <w14:ligatures w14:val="standardContextual"/>
        </w:rPr>
        <w:t>and ta</w:t>
      </w:r>
      <w:r w:rsidR="00CE5BB7">
        <w:rPr>
          <w:rFonts w:cs="Calibri"/>
          <w:color w:val="000000"/>
          <w:kern w:val="2"/>
          <w:sz w:val="24"/>
          <w:szCs w:val="24"/>
          <w:lang w:eastAsia="en-GB"/>
          <w14:ligatures w14:val="standardContextual"/>
        </w:rPr>
        <w:t xml:space="preserve">iloring support to meet their individual needs. </w:t>
      </w:r>
    </w:p>
    <w:p w14:paraId="52B0122E" w14:textId="568ACF7B" w:rsidR="009421BB" w:rsidRDefault="00AB0107" w:rsidP="006F3913">
      <w:pPr>
        <w:pStyle w:val="ListParagraph"/>
        <w:numPr>
          <w:ilvl w:val="0"/>
          <w:numId w:val="1"/>
        </w:numPr>
        <w:spacing w:after="68"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E</w:t>
      </w:r>
      <w:r w:rsidR="006F3913">
        <w:rPr>
          <w:rFonts w:cs="Calibri"/>
          <w:color w:val="000000"/>
          <w:kern w:val="2"/>
          <w:sz w:val="24"/>
          <w:szCs w:val="24"/>
          <w:lang w:eastAsia="en-GB"/>
          <w14:ligatures w14:val="standardContextual"/>
        </w:rPr>
        <w:t xml:space="preserve">ncouraging </w:t>
      </w:r>
      <w:r>
        <w:rPr>
          <w:rFonts w:cs="Calibri"/>
          <w:color w:val="000000"/>
          <w:kern w:val="2"/>
          <w:sz w:val="24"/>
          <w:szCs w:val="24"/>
          <w:lang w:eastAsia="en-GB"/>
          <w14:ligatures w14:val="standardContextual"/>
        </w:rPr>
        <w:t xml:space="preserve">residents </w:t>
      </w:r>
      <w:r w:rsidR="004E09F9">
        <w:rPr>
          <w:rFonts w:cs="Calibri"/>
          <w:color w:val="000000"/>
          <w:kern w:val="2"/>
          <w:sz w:val="24"/>
          <w:szCs w:val="24"/>
          <w:lang w:eastAsia="en-GB"/>
          <w14:ligatures w14:val="standardContextual"/>
        </w:rPr>
        <w:t xml:space="preserve">to talk about money </w:t>
      </w:r>
      <w:r w:rsidR="00452CC7">
        <w:rPr>
          <w:rFonts w:cs="Calibri"/>
          <w:color w:val="000000"/>
          <w:kern w:val="2"/>
          <w:sz w:val="24"/>
          <w:szCs w:val="24"/>
          <w:lang w:eastAsia="en-GB"/>
          <w14:ligatures w14:val="standardContextual"/>
        </w:rPr>
        <w:t>and rem</w:t>
      </w:r>
      <w:r w:rsidR="002865F5">
        <w:rPr>
          <w:rFonts w:cs="Calibri"/>
          <w:color w:val="000000"/>
          <w:kern w:val="2"/>
          <w:sz w:val="24"/>
          <w:szCs w:val="24"/>
          <w:lang w:eastAsia="en-GB"/>
          <w14:ligatures w14:val="standardContextual"/>
        </w:rPr>
        <w:t>ov</w:t>
      </w:r>
      <w:r w:rsidR="009A7E35">
        <w:rPr>
          <w:rFonts w:cs="Calibri"/>
          <w:color w:val="000000"/>
          <w:kern w:val="2"/>
          <w:sz w:val="24"/>
          <w:szCs w:val="24"/>
          <w:lang w:eastAsia="en-GB"/>
          <w14:ligatures w14:val="standardContextual"/>
        </w:rPr>
        <w:t>ing</w:t>
      </w:r>
      <w:r w:rsidR="002865F5">
        <w:rPr>
          <w:rFonts w:cs="Calibri"/>
          <w:color w:val="000000"/>
          <w:kern w:val="2"/>
          <w:sz w:val="24"/>
          <w:szCs w:val="24"/>
          <w:lang w:eastAsia="en-GB"/>
          <w14:ligatures w14:val="standardContextual"/>
        </w:rPr>
        <w:t xml:space="preserve"> </w:t>
      </w:r>
      <w:r>
        <w:rPr>
          <w:rFonts w:cs="Calibri"/>
          <w:color w:val="000000"/>
          <w:kern w:val="2"/>
          <w:sz w:val="24"/>
          <w:szCs w:val="24"/>
          <w:lang w:eastAsia="en-GB"/>
          <w14:ligatures w14:val="standardContextual"/>
        </w:rPr>
        <w:t xml:space="preserve">the stigma </w:t>
      </w:r>
      <w:r w:rsidR="009A7E35">
        <w:rPr>
          <w:rFonts w:cs="Calibri"/>
          <w:color w:val="000000"/>
          <w:kern w:val="2"/>
          <w:sz w:val="24"/>
          <w:szCs w:val="24"/>
          <w:lang w:eastAsia="en-GB"/>
          <w14:ligatures w14:val="standardContextual"/>
        </w:rPr>
        <w:t xml:space="preserve">sometimes </w:t>
      </w:r>
      <w:r>
        <w:rPr>
          <w:rFonts w:cs="Calibri"/>
          <w:color w:val="000000"/>
          <w:kern w:val="2"/>
          <w:sz w:val="24"/>
          <w:szCs w:val="24"/>
          <w:lang w:eastAsia="en-GB"/>
          <w14:ligatures w14:val="standardContextual"/>
        </w:rPr>
        <w:t xml:space="preserve">associated with </w:t>
      </w:r>
      <w:r w:rsidR="00E125FA">
        <w:rPr>
          <w:rFonts w:cs="Calibri"/>
          <w:color w:val="000000"/>
          <w:kern w:val="2"/>
          <w:sz w:val="24"/>
          <w:szCs w:val="24"/>
          <w:lang w:eastAsia="en-GB"/>
          <w14:ligatures w14:val="standardContextual"/>
        </w:rPr>
        <w:t>debts</w:t>
      </w:r>
      <w:r w:rsidR="009A7E35">
        <w:rPr>
          <w:rFonts w:cs="Calibri"/>
          <w:color w:val="000000"/>
          <w:kern w:val="2"/>
          <w:sz w:val="24"/>
          <w:szCs w:val="24"/>
          <w:lang w:eastAsia="en-GB"/>
          <w14:ligatures w14:val="standardContextual"/>
        </w:rPr>
        <w:t xml:space="preserve"> or claiming welfare benefits </w:t>
      </w:r>
    </w:p>
    <w:p w14:paraId="7D44C180" w14:textId="3BF08B03" w:rsidR="006D5012" w:rsidRPr="006D5012" w:rsidRDefault="00DF674C" w:rsidP="006D5012">
      <w:pPr>
        <w:pStyle w:val="ListParagraph"/>
        <w:numPr>
          <w:ilvl w:val="0"/>
          <w:numId w:val="1"/>
        </w:numPr>
        <w:spacing w:after="68" w:line="251" w:lineRule="auto"/>
        <w:rPr>
          <w:rFonts w:cs="Calibri"/>
          <w:color w:val="000000"/>
          <w:kern w:val="2"/>
          <w:sz w:val="24"/>
          <w:szCs w:val="24"/>
          <w:lang w:eastAsia="en-GB"/>
          <w14:ligatures w14:val="standardContextual"/>
        </w:rPr>
      </w:pPr>
      <w:r w:rsidRPr="006D5012">
        <w:rPr>
          <w:rFonts w:cs="Calibri"/>
          <w:color w:val="000000"/>
          <w:kern w:val="2"/>
          <w:sz w:val="24"/>
          <w:szCs w:val="24"/>
          <w:lang w:eastAsia="en-GB"/>
          <w14:ligatures w14:val="standardContextual"/>
        </w:rPr>
        <w:t>Providing money management advice, and guidance.</w:t>
      </w:r>
      <w:r w:rsidR="006D5012" w:rsidRPr="006D5012">
        <w:rPr>
          <w:rFonts w:cs="Calibri"/>
          <w:color w:val="000000"/>
          <w:kern w:val="2"/>
          <w:sz w:val="24"/>
          <w:szCs w:val="24"/>
          <w:lang w:eastAsia="en-GB"/>
          <w14:ligatures w14:val="standardContextual"/>
        </w:rPr>
        <w:t xml:space="preserve"> </w:t>
      </w:r>
    </w:p>
    <w:p w14:paraId="0CA682E8" w14:textId="2255AC69" w:rsidR="00DF674C" w:rsidRPr="006D5012" w:rsidRDefault="0007103B" w:rsidP="00097537">
      <w:pPr>
        <w:pStyle w:val="ListParagraph"/>
        <w:numPr>
          <w:ilvl w:val="0"/>
          <w:numId w:val="1"/>
        </w:numPr>
        <w:spacing w:after="68" w:line="251" w:lineRule="auto"/>
        <w:rPr>
          <w:rFonts w:cs="Calibri"/>
          <w:color w:val="000000"/>
          <w:kern w:val="2"/>
          <w:sz w:val="24"/>
          <w:szCs w:val="24"/>
          <w:lang w:eastAsia="en-GB"/>
          <w14:ligatures w14:val="standardContextual"/>
        </w:rPr>
      </w:pPr>
      <w:r w:rsidRPr="006D5012">
        <w:rPr>
          <w:rFonts w:cs="Calibri"/>
          <w:color w:val="000000"/>
          <w:kern w:val="2"/>
          <w:sz w:val="24"/>
          <w:szCs w:val="24"/>
          <w:lang w:eastAsia="en-GB"/>
          <w14:ligatures w14:val="standardContextual"/>
        </w:rPr>
        <w:t>Helping residents to maximise their income</w:t>
      </w:r>
      <w:r w:rsidR="00CF0355" w:rsidRPr="006D5012">
        <w:rPr>
          <w:rFonts w:cs="Calibri"/>
          <w:color w:val="000000"/>
          <w:kern w:val="2"/>
          <w:sz w:val="24"/>
          <w:szCs w:val="24"/>
          <w:lang w:eastAsia="en-GB"/>
          <w14:ligatures w14:val="standardContextual"/>
        </w:rPr>
        <w:t xml:space="preserve"> </w:t>
      </w:r>
      <w:r w:rsidR="00C9774F">
        <w:rPr>
          <w:rFonts w:cs="Calibri"/>
          <w:color w:val="000000"/>
          <w:kern w:val="2"/>
          <w:sz w:val="24"/>
          <w:szCs w:val="24"/>
          <w:lang w:eastAsia="en-GB"/>
          <w14:ligatures w14:val="standardContextual"/>
        </w:rPr>
        <w:t>and</w:t>
      </w:r>
      <w:r w:rsidR="00CF0355" w:rsidRPr="006D5012">
        <w:rPr>
          <w:rFonts w:cs="Calibri"/>
          <w:color w:val="000000"/>
          <w:kern w:val="2"/>
          <w:sz w:val="24"/>
          <w:szCs w:val="24"/>
          <w:lang w:eastAsia="en-GB"/>
          <w14:ligatures w14:val="standardContextual"/>
        </w:rPr>
        <w:t xml:space="preserve"> providing support or sign posting with benefit claims or claims to charities and agencies providing financial assistance.</w:t>
      </w:r>
    </w:p>
    <w:p w14:paraId="5D4C4A12" w14:textId="148FD959" w:rsidR="00EB098B" w:rsidRPr="00FC01F5" w:rsidRDefault="00F933FC" w:rsidP="006F3913">
      <w:pPr>
        <w:pStyle w:val="ListParagraph"/>
        <w:numPr>
          <w:ilvl w:val="0"/>
          <w:numId w:val="1"/>
        </w:numPr>
        <w:spacing w:after="68" w:line="251" w:lineRule="auto"/>
        <w:rPr>
          <w:rFonts w:cs="Calibri"/>
          <w:color w:val="000000"/>
          <w:kern w:val="2"/>
          <w:sz w:val="24"/>
          <w:szCs w:val="24"/>
          <w:lang w:eastAsia="en-GB"/>
          <w14:ligatures w14:val="standardContextual"/>
        </w:rPr>
      </w:pPr>
      <w:r>
        <w:rPr>
          <w:sz w:val="24"/>
          <w:szCs w:val="24"/>
        </w:rPr>
        <w:t>U</w:t>
      </w:r>
      <w:r w:rsidRPr="00FC01F5">
        <w:rPr>
          <w:sz w:val="24"/>
          <w:szCs w:val="24"/>
        </w:rPr>
        <w:t>s</w:t>
      </w:r>
      <w:r w:rsidR="00AE1858">
        <w:rPr>
          <w:sz w:val="24"/>
          <w:szCs w:val="24"/>
        </w:rPr>
        <w:t>ing</w:t>
      </w:r>
      <w:r w:rsidRPr="00FC01F5">
        <w:rPr>
          <w:sz w:val="24"/>
          <w:szCs w:val="24"/>
        </w:rPr>
        <w:t xml:space="preserve"> mental health capacity and proportionality checklist tools</w:t>
      </w:r>
      <w:r>
        <w:rPr>
          <w:rFonts w:cs="Calibri"/>
          <w:color w:val="000000"/>
          <w:kern w:val="2"/>
          <w:sz w:val="24"/>
          <w:szCs w:val="24"/>
          <w:lang w:eastAsia="en-GB"/>
          <w14:ligatures w14:val="standardContextual"/>
        </w:rPr>
        <w:t xml:space="preserve"> to help i</w:t>
      </w:r>
      <w:r w:rsidR="00635B8D" w:rsidRPr="00FC01F5">
        <w:rPr>
          <w:rFonts w:cs="Calibri"/>
          <w:color w:val="000000"/>
          <w:kern w:val="2"/>
          <w:sz w:val="24"/>
          <w:szCs w:val="24"/>
          <w:lang w:eastAsia="en-GB"/>
          <w14:ligatures w14:val="standardContextual"/>
        </w:rPr>
        <w:t>dentif</w:t>
      </w:r>
      <w:r w:rsidR="00635B8D">
        <w:rPr>
          <w:rFonts w:cs="Calibri"/>
          <w:color w:val="000000"/>
          <w:kern w:val="2"/>
          <w:sz w:val="24"/>
          <w:szCs w:val="24"/>
          <w:lang w:eastAsia="en-GB"/>
          <w14:ligatures w14:val="standardContextual"/>
        </w:rPr>
        <w:t xml:space="preserve">y </w:t>
      </w:r>
      <w:r w:rsidR="00EB098B" w:rsidRPr="00FC01F5">
        <w:rPr>
          <w:rFonts w:cs="Calibri"/>
          <w:color w:val="000000"/>
          <w:kern w:val="2"/>
          <w:sz w:val="24"/>
          <w:szCs w:val="24"/>
          <w:lang w:eastAsia="en-GB"/>
          <w14:ligatures w14:val="standardContextual"/>
        </w:rPr>
        <w:t xml:space="preserve">vulnerabilities and </w:t>
      </w:r>
      <w:r w:rsidR="006F4F25">
        <w:rPr>
          <w:rFonts w:cs="Calibri"/>
          <w:color w:val="000000"/>
          <w:kern w:val="2"/>
          <w:sz w:val="24"/>
          <w:szCs w:val="24"/>
          <w:lang w:eastAsia="en-GB"/>
          <w14:ligatures w14:val="standardContextual"/>
        </w:rPr>
        <w:t xml:space="preserve">making referrals </w:t>
      </w:r>
      <w:r w:rsidR="00EB098B" w:rsidRPr="00FC01F5">
        <w:rPr>
          <w:rFonts w:cs="Calibri"/>
          <w:color w:val="000000"/>
          <w:kern w:val="2"/>
          <w:sz w:val="24"/>
          <w:szCs w:val="24"/>
          <w:lang w:eastAsia="en-GB"/>
          <w14:ligatures w14:val="standardContextual"/>
        </w:rPr>
        <w:t xml:space="preserve">to </w:t>
      </w:r>
      <w:r w:rsidR="00C45AB5">
        <w:rPr>
          <w:rFonts w:cs="Calibri"/>
          <w:color w:val="000000"/>
          <w:kern w:val="2"/>
          <w:sz w:val="24"/>
          <w:szCs w:val="24"/>
          <w:lang w:eastAsia="en-GB"/>
          <w14:ligatures w14:val="standardContextual"/>
        </w:rPr>
        <w:t xml:space="preserve">specialist support </w:t>
      </w:r>
      <w:r w:rsidR="00EB098B" w:rsidRPr="00FC01F5">
        <w:rPr>
          <w:rFonts w:cs="Calibri"/>
          <w:color w:val="000000"/>
          <w:kern w:val="2"/>
          <w:sz w:val="24"/>
          <w:szCs w:val="24"/>
          <w:lang w:eastAsia="en-GB"/>
          <w14:ligatures w14:val="standardContextual"/>
        </w:rPr>
        <w:t>agencies</w:t>
      </w:r>
      <w:r w:rsidR="00226EED">
        <w:rPr>
          <w:rFonts w:cs="Calibri"/>
          <w:color w:val="000000"/>
          <w:kern w:val="2"/>
          <w:sz w:val="24"/>
          <w:szCs w:val="24"/>
          <w:lang w:eastAsia="en-GB"/>
          <w14:ligatures w14:val="standardContextual"/>
        </w:rPr>
        <w:t>. E</w:t>
      </w:r>
      <w:r w:rsidR="00FC5F72">
        <w:rPr>
          <w:rFonts w:cs="Calibri"/>
          <w:color w:val="000000"/>
          <w:kern w:val="2"/>
          <w:sz w:val="24"/>
          <w:szCs w:val="24"/>
          <w:lang w:eastAsia="en-GB"/>
          <w14:ligatures w14:val="standardContextual"/>
        </w:rPr>
        <w:t xml:space="preserve">specially </w:t>
      </w:r>
      <w:r w:rsidR="00F04276">
        <w:rPr>
          <w:rFonts w:cs="Calibri"/>
          <w:color w:val="000000"/>
          <w:kern w:val="2"/>
          <w:sz w:val="24"/>
          <w:szCs w:val="24"/>
          <w:lang w:eastAsia="en-GB"/>
          <w14:ligatures w14:val="standardContextual"/>
        </w:rPr>
        <w:t>recognising the barriers poor mental health can play</w:t>
      </w:r>
      <w:r w:rsidR="003B43E9">
        <w:rPr>
          <w:rFonts w:cs="Calibri"/>
          <w:color w:val="000000"/>
          <w:kern w:val="2"/>
          <w:sz w:val="24"/>
          <w:szCs w:val="24"/>
          <w:lang w:eastAsia="en-GB"/>
          <w14:ligatures w14:val="standardContextual"/>
        </w:rPr>
        <w:t xml:space="preserve"> and making reasonable adjustments</w:t>
      </w:r>
      <w:r w:rsidR="003C6963">
        <w:rPr>
          <w:rFonts w:cs="Calibri"/>
          <w:color w:val="000000"/>
          <w:kern w:val="2"/>
          <w:sz w:val="24"/>
          <w:szCs w:val="24"/>
          <w:lang w:eastAsia="en-GB"/>
          <w14:ligatures w14:val="standardContextual"/>
        </w:rPr>
        <w:t xml:space="preserve"> </w:t>
      </w:r>
      <w:r w:rsidR="003B43E9">
        <w:rPr>
          <w:rFonts w:cs="Calibri"/>
          <w:color w:val="000000"/>
          <w:kern w:val="2"/>
          <w:sz w:val="24"/>
          <w:szCs w:val="24"/>
          <w:lang w:eastAsia="en-GB"/>
          <w14:ligatures w14:val="standardContextual"/>
        </w:rPr>
        <w:t xml:space="preserve">to </w:t>
      </w:r>
      <w:r w:rsidR="003C6963">
        <w:rPr>
          <w:rFonts w:cs="Calibri"/>
          <w:color w:val="000000"/>
          <w:kern w:val="2"/>
          <w:sz w:val="24"/>
          <w:szCs w:val="24"/>
          <w:lang w:eastAsia="en-GB"/>
          <w14:ligatures w14:val="standardContextual"/>
        </w:rPr>
        <w:t>the arrears’ processes</w:t>
      </w:r>
      <w:r w:rsidR="00FC5F72">
        <w:rPr>
          <w:rFonts w:cs="Calibri"/>
          <w:color w:val="000000"/>
          <w:kern w:val="2"/>
          <w:sz w:val="24"/>
          <w:szCs w:val="24"/>
          <w:lang w:eastAsia="en-GB"/>
          <w14:ligatures w14:val="standardContextual"/>
        </w:rPr>
        <w:t xml:space="preserve"> as needed</w:t>
      </w:r>
      <w:r w:rsidR="003C6963">
        <w:rPr>
          <w:rFonts w:cs="Calibri"/>
          <w:color w:val="000000"/>
          <w:kern w:val="2"/>
          <w:sz w:val="24"/>
          <w:szCs w:val="24"/>
          <w:lang w:eastAsia="en-GB"/>
          <w14:ligatures w14:val="standardContextual"/>
        </w:rPr>
        <w:t>.</w:t>
      </w:r>
      <w:r w:rsidR="00EB098B" w:rsidRPr="00FC01F5">
        <w:rPr>
          <w:rFonts w:cs="Calibri"/>
          <w:color w:val="000000"/>
          <w:kern w:val="2"/>
          <w:sz w:val="24"/>
          <w:szCs w:val="24"/>
          <w:lang w:eastAsia="en-GB"/>
          <w14:ligatures w14:val="standardContextual"/>
        </w:rPr>
        <w:t xml:space="preserve"> </w:t>
      </w:r>
    </w:p>
    <w:p w14:paraId="49FF4CD3" w14:textId="2DB026CA" w:rsidR="161C42D0" w:rsidRPr="005108BB" w:rsidRDefault="161C42D0" w:rsidP="005108BB">
      <w:pPr>
        <w:pStyle w:val="NoSpacing"/>
      </w:pPr>
    </w:p>
    <w:p w14:paraId="79C56419" w14:textId="6F146597" w:rsidR="005A0434" w:rsidRPr="00FC01F5" w:rsidRDefault="005A0434" w:rsidP="00A94323">
      <w:pPr>
        <w:pStyle w:val="Heading2"/>
        <w:rPr>
          <w:rFonts w:eastAsia="Calibri"/>
        </w:rPr>
      </w:pPr>
      <w:bookmarkStart w:id="9" w:name="_Toc184985244"/>
      <w:r w:rsidRPr="00FC01F5">
        <w:rPr>
          <w:rFonts w:eastAsia="Calibri"/>
        </w:rPr>
        <w:t xml:space="preserve">Arrears </w:t>
      </w:r>
      <w:r w:rsidR="00A94323">
        <w:rPr>
          <w:rFonts w:eastAsia="Calibri"/>
        </w:rPr>
        <w:t>P</w:t>
      </w:r>
      <w:r w:rsidRPr="00B773DF">
        <w:rPr>
          <w:rFonts w:eastAsia="Calibri"/>
        </w:rPr>
        <w:t>revention</w:t>
      </w:r>
      <w:bookmarkEnd w:id="9"/>
    </w:p>
    <w:p w14:paraId="249E171C" w14:textId="7AD7FA7F" w:rsidR="005A0434" w:rsidRDefault="005A0434" w:rsidP="005A0434">
      <w:pPr>
        <w:spacing w:after="4"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 xml:space="preserve">We recognise that prevention is key to low arrears. This means working with residents from the offer stage onwards to ensure they can afford the </w:t>
      </w:r>
      <w:r w:rsidR="00882435">
        <w:rPr>
          <w:rFonts w:cs="Calibri"/>
          <w:color w:val="000000"/>
          <w:kern w:val="2"/>
          <w:sz w:val="24"/>
          <w:szCs w:val="24"/>
          <w:lang w:eastAsia="en-GB"/>
          <w14:ligatures w14:val="standardContextual"/>
        </w:rPr>
        <w:t>property;</w:t>
      </w:r>
      <w:r>
        <w:rPr>
          <w:rFonts w:cs="Calibri"/>
          <w:color w:val="000000"/>
          <w:kern w:val="2"/>
          <w:sz w:val="24"/>
          <w:szCs w:val="24"/>
          <w:lang w:eastAsia="en-GB"/>
          <w14:ligatures w14:val="standardContextual"/>
        </w:rPr>
        <w:t xml:space="preserve"> they maximise their income and they understand their tenancy conditions and the potential consequences of not paying their rent or service charges</w:t>
      </w:r>
      <w:r w:rsidR="371A0ABC">
        <w:rPr>
          <w:rFonts w:cs="Calibri"/>
          <w:color w:val="000000"/>
          <w:kern w:val="2"/>
          <w:sz w:val="24"/>
          <w:szCs w:val="24"/>
          <w:lang w:eastAsia="en-GB"/>
          <w14:ligatures w14:val="standardContextual"/>
        </w:rPr>
        <w:t xml:space="preserve"> on time</w:t>
      </w:r>
      <w:r>
        <w:rPr>
          <w:rFonts w:cs="Calibri"/>
          <w:color w:val="000000"/>
          <w:kern w:val="2"/>
          <w:sz w:val="24"/>
          <w:szCs w:val="24"/>
          <w:lang w:eastAsia="en-GB"/>
          <w14:ligatures w14:val="standardContextual"/>
        </w:rPr>
        <w:t xml:space="preserve">. </w:t>
      </w:r>
    </w:p>
    <w:p w14:paraId="5FE942BE" w14:textId="77777777" w:rsidR="005A0434" w:rsidRDefault="005A0434" w:rsidP="005A0434">
      <w:pPr>
        <w:spacing w:after="4" w:line="251" w:lineRule="auto"/>
        <w:rPr>
          <w:rFonts w:cs="Calibri"/>
          <w:color w:val="000000"/>
          <w:kern w:val="2"/>
          <w:sz w:val="24"/>
          <w:szCs w:val="24"/>
          <w:lang w:eastAsia="en-GB"/>
          <w14:ligatures w14:val="standardContextual"/>
        </w:rPr>
      </w:pPr>
    </w:p>
    <w:p w14:paraId="12B26E5C" w14:textId="20DA81AD" w:rsidR="005A0434" w:rsidRDefault="005A0434" w:rsidP="004B5478">
      <w:pPr>
        <w:spacing w:after="4"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 xml:space="preserve">To do this we will conduct a financial assessment / benefit entitlement check at the tenancy offer stage </w:t>
      </w:r>
      <w:r w:rsidRPr="00FC01F5">
        <w:rPr>
          <w:rFonts w:cs="Calibri"/>
          <w:color w:val="000000"/>
          <w:kern w:val="2"/>
          <w:sz w:val="24"/>
          <w:szCs w:val="24"/>
          <w:lang w:eastAsia="en-GB"/>
          <w14:ligatures w14:val="standardContextual"/>
        </w:rPr>
        <w:t>to enable residents to maximise their income</w:t>
      </w:r>
      <w:r>
        <w:rPr>
          <w:rFonts w:cs="Calibri"/>
          <w:color w:val="000000"/>
          <w:kern w:val="2"/>
          <w:sz w:val="24"/>
          <w:szCs w:val="24"/>
          <w:lang w:eastAsia="en-GB"/>
          <w14:ligatures w14:val="standardContextual"/>
        </w:rPr>
        <w:t xml:space="preserve"> and ensure they can afford the rent and charges. </w:t>
      </w:r>
      <w:r w:rsidR="0066153D">
        <w:rPr>
          <w:rFonts w:cs="Calibri"/>
          <w:color w:val="000000"/>
          <w:kern w:val="2"/>
          <w:sz w:val="24"/>
          <w:szCs w:val="24"/>
          <w:lang w:eastAsia="en-GB"/>
          <w14:ligatures w14:val="standardContextual"/>
        </w:rPr>
        <w:t>We will also discuss with new residents about whether they have any vulnerabilities that would require the need for additional support generally, including support with financial management</w:t>
      </w:r>
      <w:r w:rsidR="004B5478" w:rsidRPr="004B5478">
        <w:rPr>
          <w:rFonts w:cs="Calibri"/>
          <w:color w:val="000000"/>
          <w:kern w:val="2"/>
          <w:sz w:val="24"/>
          <w:szCs w:val="24"/>
          <w:lang w:eastAsia="en-GB"/>
          <w14:ligatures w14:val="standardContextual"/>
        </w:rPr>
        <w:t>.</w:t>
      </w:r>
      <w:r w:rsidR="0066153D">
        <w:rPr>
          <w:rFonts w:cs="Calibri"/>
          <w:color w:val="000000"/>
          <w:kern w:val="2"/>
          <w:sz w:val="24"/>
          <w:szCs w:val="24"/>
          <w:lang w:eastAsia="en-GB"/>
          <w14:ligatures w14:val="standardContextual"/>
        </w:rPr>
        <w:t xml:space="preserve"> </w:t>
      </w:r>
      <w:r>
        <w:rPr>
          <w:rFonts w:cs="Calibri"/>
          <w:color w:val="000000"/>
          <w:kern w:val="2"/>
          <w:sz w:val="24"/>
          <w:szCs w:val="24"/>
          <w:lang w:eastAsia="en-GB"/>
          <w14:ligatures w14:val="standardContextual"/>
        </w:rPr>
        <w:t xml:space="preserve">We will continue to offer these throughout the tenancy. </w:t>
      </w:r>
    </w:p>
    <w:p w14:paraId="62407226" w14:textId="77777777" w:rsidR="005A0434" w:rsidRDefault="005A0434" w:rsidP="005A0434">
      <w:pPr>
        <w:spacing w:after="4" w:line="251" w:lineRule="auto"/>
        <w:rPr>
          <w:rFonts w:cs="Calibri"/>
          <w:color w:val="000000"/>
          <w:kern w:val="2"/>
          <w:sz w:val="24"/>
          <w:szCs w:val="24"/>
          <w:lang w:eastAsia="en-GB"/>
          <w14:ligatures w14:val="standardContextual"/>
        </w:rPr>
      </w:pPr>
    </w:p>
    <w:p w14:paraId="5D67F485" w14:textId="2B06AD47" w:rsidR="005A0434" w:rsidRDefault="005A0434" w:rsidP="005A0434">
      <w:pPr>
        <w:spacing w:after="4"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 xml:space="preserve">We ask </w:t>
      </w:r>
      <w:r w:rsidRPr="008F1175">
        <w:rPr>
          <w:rFonts w:cs="Calibri"/>
          <w:color w:val="000000"/>
          <w:kern w:val="2"/>
          <w:sz w:val="24"/>
          <w:szCs w:val="24"/>
          <w:lang w:eastAsia="en-GB"/>
          <w14:ligatures w14:val="standardContextual"/>
        </w:rPr>
        <w:t>new residents to pay four weeks</w:t>
      </w:r>
      <w:r w:rsidR="2DC3E5A7" w:rsidRPr="008F1175">
        <w:rPr>
          <w:rFonts w:cs="Calibri"/>
          <w:color w:val="000000"/>
          <w:kern w:val="2"/>
          <w:sz w:val="24"/>
          <w:szCs w:val="24"/>
          <w:lang w:eastAsia="en-GB"/>
          <w14:ligatures w14:val="standardContextual"/>
        </w:rPr>
        <w:t>’</w:t>
      </w:r>
      <w:r w:rsidRPr="008F1175">
        <w:rPr>
          <w:rFonts w:cs="Calibri"/>
          <w:color w:val="000000"/>
          <w:kern w:val="2"/>
          <w:sz w:val="24"/>
          <w:szCs w:val="24"/>
          <w:lang w:eastAsia="en-GB"/>
          <w14:ligatures w14:val="standardContextual"/>
        </w:rPr>
        <w:t xml:space="preserve"> rent in advance at the sign</w:t>
      </w:r>
      <w:r w:rsidR="10E3E55F" w:rsidRPr="008F1175">
        <w:rPr>
          <w:rFonts w:cs="Calibri"/>
          <w:color w:val="000000"/>
          <w:kern w:val="2"/>
          <w:sz w:val="24"/>
          <w:szCs w:val="24"/>
          <w:lang w:eastAsia="en-GB"/>
          <w14:ligatures w14:val="standardContextual"/>
        </w:rPr>
        <w:t>-</w:t>
      </w:r>
      <w:r w:rsidRPr="008F1175">
        <w:rPr>
          <w:rFonts w:cs="Calibri"/>
          <w:color w:val="000000"/>
          <w:kern w:val="2"/>
          <w:sz w:val="24"/>
          <w:szCs w:val="24"/>
          <w:lang w:eastAsia="en-GB"/>
          <w14:ligatures w14:val="standardContextual"/>
        </w:rPr>
        <w:t xml:space="preserve">up stage. This is not a deposit and simply means the resident is paying the rent up front for four weeks. </w:t>
      </w:r>
      <w:r w:rsidRPr="008F1175">
        <w:rPr>
          <w:rFonts w:ascii="Arial" w:hAnsi="Arial" w:cs="Arial"/>
        </w:rPr>
        <w:t xml:space="preserve">In </w:t>
      </w:r>
      <w:r w:rsidRPr="008F1175">
        <w:rPr>
          <w:rFonts w:cs="Calibri"/>
          <w:color w:val="000000"/>
          <w:kern w:val="2"/>
          <w:sz w:val="24"/>
          <w:szCs w:val="24"/>
          <w:lang w:eastAsia="en-GB"/>
          <w14:ligatures w14:val="standardContextual"/>
        </w:rPr>
        <w:t>cases of financial hardship, a minimum of one week’s rent in advance may be accepted along with a payment plan to bring the account four weeks in advance by the end of the starter tenancy period</w:t>
      </w:r>
      <w:r w:rsidR="008C1EE2">
        <w:rPr>
          <w:rFonts w:cs="Calibri"/>
          <w:color w:val="000000"/>
          <w:kern w:val="2"/>
          <w:sz w:val="24"/>
          <w:szCs w:val="24"/>
          <w:lang w:eastAsia="en-GB"/>
          <w14:ligatures w14:val="standardContextual"/>
        </w:rPr>
        <w:t>,</w:t>
      </w:r>
      <w:r w:rsidR="0048459B" w:rsidRPr="0048459B">
        <w:t xml:space="preserve"> </w:t>
      </w:r>
      <w:r w:rsidR="00A434B1">
        <w:t>s</w:t>
      </w:r>
      <w:r w:rsidR="000314D6" w:rsidRPr="000314D6">
        <w:rPr>
          <w:rFonts w:cs="Calibri"/>
          <w:color w:val="000000"/>
          <w:kern w:val="2"/>
          <w:sz w:val="24"/>
          <w:szCs w:val="24"/>
          <w:lang w:eastAsia="en-GB"/>
          <w14:ligatures w14:val="standardContextual"/>
        </w:rPr>
        <w:t xml:space="preserve">cheme managers should </w:t>
      </w:r>
      <w:r w:rsidR="006B3849">
        <w:rPr>
          <w:rFonts w:cs="Calibri"/>
          <w:color w:val="000000"/>
          <w:kern w:val="2"/>
          <w:sz w:val="24"/>
          <w:szCs w:val="24"/>
          <w:lang w:eastAsia="en-GB"/>
          <w14:ligatures w14:val="standardContextual"/>
        </w:rPr>
        <w:t xml:space="preserve">agree this with </w:t>
      </w:r>
      <w:r w:rsidR="000314D6" w:rsidRPr="000314D6">
        <w:rPr>
          <w:rFonts w:cs="Calibri"/>
          <w:color w:val="000000"/>
          <w:kern w:val="2"/>
          <w:sz w:val="24"/>
          <w:szCs w:val="24"/>
          <w:lang w:eastAsia="en-GB"/>
          <w14:ligatures w14:val="standardContextual"/>
        </w:rPr>
        <w:t>their line manager</w:t>
      </w:r>
      <w:r w:rsidR="001A78E6">
        <w:rPr>
          <w:rFonts w:cs="Calibri"/>
          <w:color w:val="000000"/>
          <w:kern w:val="2"/>
          <w:sz w:val="24"/>
          <w:szCs w:val="24"/>
          <w:lang w:eastAsia="en-GB"/>
          <w14:ligatures w14:val="standardContextual"/>
        </w:rPr>
        <w:t xml:space="preserve"> </w:t>
      </w:r>
      <w:r w:rsidR="001A1F7D">
        <w:rPr>
          <w:rFonts w:cs="Calibri"/>
          <w:color w:val="000000"/>
          <w:kern w:val="2"/>
          <w:sz w:val="24"/>
          <w:szCs w:val="24"/>
          <w:lang w:eastAsia="en-GB"/>
          <w14:ligatures w14:val="standardContextual"/>
        </w:rPr>
        <w:t>before</w:t>
      </w:r>
      <w:r w:rsidR="00DF7AC6">
        <w:rPr>
          <w:rFonts w:cs="Calibri"/>
          <w:color w:val="000000"/>
          <w:kern w:val="2"/>
          <w:sz w:val="24"/>
          <w:szCs w:val="24"/>
          <w:lang w:eastAsia="en-GB"/>
          <w14:ligatures w14:val="standardContextual"/>
        </w:rPr>
        <w:t xml:space="preserve"> </w:t>
      </w:r>
      <w:r w:rsidR="00742505">
        <w:rPr>
          <w:rFonts w:cs="Calibri"/>
          <w:color w:val="000000"/>
          <w:kern w:val="2"/>
          <w:sz w:val="24"/>
          <w:szCs w:val="24"/>
          <w:lang w:eastAsia="en-GB"/>
          <w14:ligatures w14:val="standardContextual"/>
        </w:rPr>
        <w:t xml:space="preserve">entering into any </w:t>
      </w:r>
      <w:r w:rsidR="003070CF">
        <w:rPr>
          <w:rFonts w:cs="Calibri"/>
          <w:color w:val="000000"/>
          <w:kern w:val="2"/>
          <w:sz w:val="24"/>
          <w:szCs w:val="24"/>
          <w:lang w:eastAsia="en-GB"/>
          <w14:ligatures w14:val="standardContextual"/>
        </w:rPr>
        <w:t>arrangement</w:t>
      </w:r>
      <w:r w:rsidR="00CA390B">
        <w:rPr>
          <w:rFonts w:cs="Calibri"/>
          <w:color w:val="000000"/>
          <w:kern w:val="2"/>
          <w:sz w:val="24"/>
          <w:szCs w:val="24"/>
          <w:lang w:eastAsia="en-GB"/>
          <w14:ligatures w14:val="standardContextual"/>
        </w:rPr>
        <w:t>.</w:t>
      </w:r>
      <w:r w:rsidR="003070CF">
        <w:rPr>
          <w:rFonts w:cs="Calibri"/>
          <w:color w:val="000000"/>
          <w:kern w:val="2"/>
          <w:sz w:val="24"/>
          <w:szCs w:val="24"/>
          <w:lang w:eastAsia="en-GB"/>
          <w14:ligatures w14:val="standardContextual"/>
        </w:rPr>
        <w:t xml:space="preserve"> </w:t>
      </w:r>
    </w:p>
    <w:p w14:paraId="781C6E8D" w14:textId="77777777" w:rsidR="005A0434" w:rsidRDefault="005A0434" w:rsidP="005A0434">
      <w:pPr>
        <w:spacing w:after="4" w:line="251" w:lineRule="auto"/>
        <w:rPr>
          <w:rFonts w:cs="Calibri"/>
          <w:color w:val="000000"/>
          <w:kern w:val="2"/>
          <w:sz w:val="24"/>
          <w:szCs w:val="24"/>
          <w:lang w:eastAsia="en-GB"/>
          <w14:ligatures w14:val="standardContextual"/>
        </w:rPr>
      </w:pPr>
    </w:p>
    <w:p w14:paraId="1FC85B03" w14:textId="264324A9" w:rsidR="009D58A8" w:rsidRDefault="009D58A8" w:rsidP="005A0434">
      <w:pPr>
        <w:spacing w:after="4"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Our preferred payment method is Direct Debit</w:t>
      </w:r>
      <w:r w:rsidR="00BA5B1B">
        <w:rPr>
          <w:rFonts w:cs="Calibri"/>
          <w:color w:val="000000"/>
          <w:kern w:val="2"/>
          <w:sz w:val="24"/>
          <w:szCs w:val="24"/>
          <w:lang w:eastAsia="en-GB"/>
          <w14:ligatures w14:val="standardContextual"/>
        </w:rPr>
        <w:t>,</w:t>
      </w:r>
      <w:r>
        <w:rPr>
          <w:rFonts w:cs="Calibri"/>
          <w:color w:val="000000"/>
          <w:kern w:val="2"/>
          <w:sz w:val="24"/>
          <w:szCs w:val="24"/>
          <w:lang w:eastAsia="en-GB"/>
          <w14:ligatures w14:val="standardContextual"/>
        </w:rPr>
        <w:t xml:space="preserve"> </w:t>
      </w:r>
      <w:r w:rsidR="003E3CB4">
        <w:rPr>
          <w:rFonts w:cs="Calibri"/>
          <w:color w:val="000000"/>
          <w:kern w:val="2"/>
          <w:sz w:val="24"/>
          <w:szCs w:val="24"/>
          <w:lang w:eastAsia="en-GB"/>
          <w14:ligatures w14:val="standardContextual"/>
        </w:rPr>
        <w:t xml:space="preserve">as part of our commitment </w:t>
      </w:r>
      <w:r w:rsidR="00C05C07">
        <w:rPr>
          <w:rFonts w:cs="Calibri"/>
          <w:color w:val="000000"/>
          <w:kern w:val="2"/>
          <w:sz w:val="24"/>
          <w:szCs w:val="24"/>
          <w:lang w:eastAsia="en-GB"/>
          <w14:ligatures w14:val="standardContextual"/>
        </w:rPr>
        <w:t xml:space="preserve">to tailor services to </w:t>
      </w:r>
      <w:r w:rsidR="00BE5E93">
        <w:rPr>
          <w:rFonts w:cs="Calibri"/>
          <w:color w:val="000000"/>
          <w:kern w:val="2"/>
          <w:sz w:val="24"/>
          <w:szCs w:val="24"/>
          <w:lang w:eastAsia="en-GB"/>
          <w14:ligatures w14:val="standardContextual"/>
        </w:rPr>
        <w:t xml:space="preserve">meet </w:t>
      </w:r>
      <w:r w:rsidR="009C4A86">
        <w:rPr>
          <w:rFonts w:cs="Calibri"/>
          <w:color w:val="000000"/>
          <w:kern w:val="2"/>
          <w:sz w:val="24"/>
          <w:szCs w:val="24"/>
          <w:lang w:eastAsia="en-GB"/>
          <w14:ligatures w14:val="standardContextual"/>
        </w:rPr>
        <w:t>individual</w:t>
      </w:r>
      <w:r w:rsidR="00D45F02">
        <w:rPr>
          <w:rFonts w:cs="Calibri"/>
          <w:color w:val="000000"/>
          <w:kern w:val="2"/>
          <w:sz w:val="24"/>
          <w:szCs w:val="24"/>
          <w:lang w:eastAsia="en-GB"/>
          <w14:ligatures w14:val="standardContextual"/>
        </w:rPr>
        <w:t>’</w:t>
      </w:r>
      <w:r w:rsidR="009C4A86">
        <w:rPr>
          <w:rFonts w:cs="Calibri"/>
          <w:color w:val="000000"/>
          <w:kern w:val="2"/>
          <w:sz w:val="24"/>
          <w:szCs w:val="24"/>
          <w:lang w:eastAsia="en-GB"/>
          <w14:ligatures w14:val="standardContextual"/>
        </w:rPr>
        <w:t>s</w:t>
      </w:r>
      <w:r w:rsidR="00BE5E93">
        <w:rPr>
          <w:rFonts w:cs="Calibri"/>
          <w:color w:val="000000"/>
          <w:kern w:val="2"/>
          <w:sz w:val="24"/>
          <w:szCs w:val="24"/>
          <w:lang w:eastAsia="en-GB"/>
          <w14:ligatures w14:val="standardContextual"/>
        </w:rPr>
        <w:t xml:space="preserve"> </w:t>
      </w:r>
      <w:r w:rsidR="009C4A86">
        <w:rPr>
          <w:rFonts w:cs="Calibri"/>
          <w:color w:val="000000"/>
          <w:kern w:val="2"/>
          <w:sz w:val="24"/>
          <w:szCs w:val="24"/>
          <w:lang w:eastAsia="en-GB"/>
          <w14:ligatures w14:val="standardContextual"/>
        </w:rPr>
        <w:t>needs,</w:t>
      </w:r>
      <w:r w:rsidR="00BE5E93">
        <w:rPr>
          <w:rFonts w:cs="Calibri"/>
          <w:color w:val="000000"/>
          <w:kern w:val="2"/>
          <w:sz w:val="24"/>
          <w:szCs w:val="24"/>
          <w:lang w:eastAsia="en-GB"/>
          <w14:ligatures w14:val="standardContextual"/>
        </w:rPr>
        <w:t xml:space="preserve"> </w:t>
      </w:r>
      <w:r w:rsidR="00E07189">
        <w:rPr>
          <w:rFonts w:cs="Calibri"/>
          <w:color w:val="000000"/>
          <w:kern w:val="2"/>
          <w:sz w:val="24"/>
          <w:szCs w:val="24"/>
          <w:lang w:eastAsia="en-GB"/>
          <w14:ligatures w14:val="standardContextual"/>
        </w:rPr>
        <w:t xml:space="preserve">we will offer a range of alternative payment methods where a resident is unable to </w:t>
      </w:r>
      <w:r w:rsidR="00F91E6B">
        <w:rPr>
          <w:rFonts w:cs="Calibri"/>
          <w:color w:val="000000"/>
          <w:kern w:val="2"/>
          <w:sz w:val="24"/>
          <w:szCs w:val="24"/>
          <w:lang w:eastAsia="en-GB"/>
          <w14:ligatures w14:val="standardContextual"/>
        </w:rPr>
        <w:t>pay by Direct Debit.</w:t>
      </w:r>
      <w:r w:rsidR="00552554">
        <w:rPr>
          <w:rFonts w:cs="Calibri"/>
          <w:color w:val="000000"/>
          <w:kern w:val="2"/>
          <w:sz w:val="24"/>
          <w:szCs w:val="24"/>
          <w:lang w:eastAsia="en-GB"/>
          <w14:ligatures w14:val="standardContextual"/>
        </w:rPr>
        <w:t xml:space="preserve"> This may include </w:t>
      </w:r>
      <w:r w:rsidR="00636B12">
        <w:rPr>
          <w:rFonts w:cs="Calibri"/>
          <w:color w:val="000000"/>
          <w:kern w:val="2"/>
          <w:sz w:val="24"/>
          <w:szCs w:val="24"/>
          <w:lang w:eastAsia="en-GB"/>
          <w14:ligatures w14:val="standardContextual"/>
        </w:rPr>
        <w:t xml:space="preserve">payments by standing order, </w:t>
      </w:r>
      <w:r w:rsidR="005E6DC5">
        <w:rPr>
          <w:rFonts w:cs="Calibri"/>
          <w:color w:val="000000"/>
          <w:kern w:val="2"/>
          <w:sz w:val="24"/>
          <w:szCs w:val="24"/>
          <w:lang w:eastAsia="en-GB"/>
          <w14:ligatures w14:val="standardContextual"/>
        </w:rPr>
        <w:t>telephone and online payments or payments by cheque</w:t>
      </w:r>
      <w:r w:rsidR="00984BE1">
        <w:rPr>
          <w:rFonts w:cs="Calibri"/>
          <w:color w:val="000000"/>
          <w:kern w:val="2"/>
          <w:sz w:val="24"/>
          <w:szCs w:val="24"/>
          <w:lang w:eastAsia="en-GB"/>
          <w14:ligatures w14:val="standardContextual"/>
        </w:rPr>
        <w:t>.</w:t>
      </w:r>
      <w:r w:rsidR="005E6DC5">
        <w:rPr>
          <w:rFonts w:cs="Calibri"/>
          <w:color w:val="000000"/>
          <w:kern w:val="2"/>
          <w:sz w:val="24"/>
          <w:szCs w:val="24"/>
          <w:lang w:eastAsia="en-GB"/>
          <w14:ligatures w14:val="standardContextual"/>
        </w:rPr>
        <w:t xml:space="preserve"> </w:t>
      </w:r>
      <w:r w:rsidR="00636B12">
        <w:rPr>
          <w:rFonts w:cs="Calibri"/>
          <w:color w:val="000000"/>
          <w:kern w:val="2"/>
          <w:sz w:val="24"/>
          <w:szCs w:val="24"/>
          <w:lang w:eastAsia="en-GB"/>
          <w14:ligatures w14:val="standardContextual"/>
        </w:rPr>
        <w:t xml:space="preserve"> </w:t>
      </w:r>
    </w:p>
    <w:p w14:paraId="332760D2" w14:textId="3C63F6EC" w:rsidR="00F91E6B" w:rsidRDefault="000E1C68" w:rsidP="005A0434">
      <w:pPr>
        <w:spacing w:after="4"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 xml:space="preserve"> </w:t>
      </w:r>
    </w:p>
    <w:p w14:paraId="369CF472" w14:textId="319744EA" w:rsidR="00E27131" w:rsidRDefault="000E1C68" w:rsidP="005A0434">
      <w:pPr>
        <w:spacing w:after="4"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 xml:space="preserve">We will accept direct payments for Housing Benefit and Universal Credit and will </w:t>
      </w:r>
      <w:r w:rsidR="006A65C4">
        <w:rPr>
          <w:rFonts w:cs="Calibri"/>
          <w:color w:val="000000"/>
          <w:kern w:val="2"/>
          <w:sz w:val="24"/>
          <w:szCs w:val="24"/>
          <w:lang w:eastAsia="en-GB"/>
          <w14:ligatures w14:val="standardContextual"/>
        </w:rPr>
        <w:t xml:space="preserve">apply for Alternative Payment Arrangement </w:t>
      </w:r>
      <w:r w:rsidR="001A2A79">
        <w:rPr>
          <w:rFonts w:cs="Calibri"/>
          <w:color w:val="000000"/>
          <w:kern w:val="2"/>
          <w:sz w:val="24"/>
          <w:szCs w:val="24"/>
          <w:lang w:eastAsia="en-GB"/>
          <w14:ligatures w14:val="standardContextual"/>
        </w:rPr>
        <w:t xml:space="preserve">where a resident is in receipt of Universal Credit </w:t>
      </w:r>
      <w:r w:rsidR="003C7E04">
        <w:rPr>
          <w:rFonts w:cs="Calibri"/>
          <w:color w:val="000000"/>
          <w:kern w:val="2"/>
          <w:sz w:val="24"/>
          <w:szCs w:val="24"/>
          <w:lang w:eastAsia="en-GB"/>
          <w14:ligatures w14:val="standardContextual"/>
        </w:rPr>
        <w:t>and either requests it or is in arrears.</w:t>
      </w:r>
    </w:p>
    <w:p w14:paraId="695C3C19" w14:textId="12E9BB26" w:rsidR="161C42D0" w:rsidRDefault="161C42D0" w:rsidP="161C42D0">
      <w:pPr>
        <w:spacing w:after="4" w:line="251" w:lineRule="auto"/>
        <w:rPr>
          <w:rFonts w:cs="Calibri"/>
          <w:color w:val="000000" w:themeColor="text1"/>
          <w:sz w:val="24"/>
          <w:szCs w:val="24"/>
          <w:lang w:eastAsia="en-GB"/>
        </w:rPr>
      </w:pPr>
    </w:p>
    <w:p w14:paraId="1181AE86" w14:textId="77777777" w:rsidR="0066153D" w:rsidRPr="0066153D" w:rsidRDefault="0066153D" w:rsidP="0066153D">
      <w:pPr>
        <w:spacing w:after="4" w:line="251" w:lineRule="auto"/>
        <w:rPr>
          <w:rFonts w:cs="Calibri"/>
          <w:color w:val="000000"/>
          <w:kern w:val="2"/>
          <w:sz w:val="24"/>
          <w:szCs w:val="24"/>
          <w:lang w:eastAsia="en-GB"/>
          <w14:ligatures w14:val="standardContextual"/>
        </w:rPr>
      </w:pPr>
      <w:r w:rsidRPr="0066153D">
        <w:rPr>
          <w:rFonts w:cs="Calibri"/>
          <w:color w:val="000000"/>
          <w:kern w:val="2"/>
          <w:sz w:val="24"/>
          <w:szCs w:val="24"/>
          <w:lang w:eastAsia="en-GB"/>
          <w14:ligatures w14:val="standardContextual"/>
        </w:rPr>
        <w:t>Consideration will be given to the needs of an individual when we communicate with them.</w:t>
      </w:r>
    </w:p>
    <w:p w14:paraId="15836C55" w14:textId="0F61521B" w:rsidR="0066153D" w:rsidRDefault="0066153D" w:rsidP="0066153D">
      <w:pPr>
        <w:spacing w:after="4" w:line="251" w:lineRule="auto"/>
        <w:rPr>
          <w:rFonts w:cs="Calibri"/>
          <w:color w:val="000000"/>
          <w:kern w:val="2"/>
          <w:sz w:val="24"/>
          <w:szCs w:val="24"/>
          <w:lang w:eastAsia="en-GB"/>
          <w14:ligatures w14:val="standardContextual"/>
        </w:rPr>
      </w:pPr>
      <w:r w:rsidRPr="0066153D">
        <w:rPr>
          <w:rFonts w:cs="Calibri"/>
          <w:color w:val="000000"/>
          <w:kern w:val="2"/>
          <w:sz w:val="24"/>
          <w:szCs w:val="24"/>
          <w:lang w:eastAsia="en-GB"/>
          <w14:ligatures w14:val="standardContextual"/>
        </w:rPr>
        <w:t xml:space="preserve">We will use a variety of contact methods including letters, emails, telephone calls and </w:t>
      </w:r>
      <w:r w:rsidR="00D45F02" w:rsidRPr="0066153D">
        <w:rPr>
          <w:rFonts w:cs="Calibri"/>
          <w:color w:val="000000"/>
          <w:kern w:val="2"/>
          <w:sz w:val="24"/>
          <w:szCs w:val="24"/>
          <w:lang w:eastAsia="en-GB"/>
          <w14:ligatures w14:val="standardContextual"/>
        </w:rPr>
        <w:t>home visits</w:t>
      </w:r>
      <w:r w:rsidRPr="0066153D">
        <w:rPr>
          <w:rFonts w:cs="Calibri"/>
          <w:color w:val="000000"/>
          <w:kern w:val="2"/>
          <w:sz w:val="24"/>
          <w:szCs w:val="24"/>
          <w:lang w:eastAsia="en-GB"/>
          <w14:ligatures w14:val="standardContextual"/>
        </w:rPr>
        <w:t xml:space="preserve"> where appropriate.</w:t>
      </w:r>
    </w:p>
    <w:p w14:paraId="328C0EFE" w14:textId="77777777" w:rsidR="0066153D" w:rsidRDefault="0066153D" w:rsidP="005A0434">
      <w:pPr>
        <w:spacing w:after="4" w:line="251" w:lineRule="auto"/>
        <w:rPr>
          <w:rFonts w:cs="Calibri"/>
          <w:color w:val="000000"/>
          <w:kern w:val="2"/>
          <w:sz w:val="24"/>
          <w:szCs w:val="24"/>
          <w:lang w:eastAsia="en-GB"/>
          <w14:ligatures w14:val="standardContextual"/>
        </w:rPr>
      </w:pPr>
    </w:p>
    <w:p w14:paraId="75CA0810" w14:textId="2AC0D1CA" w:rsidR="005A0434" w:rsidRDefault="005A0434" w:rsidP="005A0434">
      <w:pPr>
        <w:spacing w:after="4"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 xml:space="preserve">We will send regular rent statements </w:t>
      </w:r>
      <w:r w:rsidR="00C609C5">
        <w:rPr>
          <w:rFonts w:cs="Calibri"/>
          <w:color w:val="000000"/>
          <w:kern w:val="2"/>
          <w:sz w:val="24"/>
          <w:szCs w:val="24"/>
          <w:lang w:eastAsia="en-GB"/>
          <w14:ligatures w14:val="standardContextual"/>
        </w:rPr>
        <w:t xml:space="preserve">(at least quarterly) </w:t>
      </w:r>
      <w:r>
        <w:rPr>
          <w:rFonts w:cs="Calibri"/>
          <w:color w:val="000000"/>
          <w:kern w:val="2"/>
          <w:sz w:val="24"/>
          <w:szCs w:val="24"/>
          <w:lang w:eastAsia="en-GB"/>
          <w14:ligatures w14:val="standardContextual"/>
        </w:rPr>
        <w:t xml:space="preserve">and keep residents informed of any changes to their rent and charges or their payments. </w:t>
      </w:r>
    </w:p>
    <w:p w14:paraId="5DF0575F" w14:textId="51BA5F6E" w:rsidR="161C42D0" w:rsidRDefault="161C42D0" w:rsidP="161C42D0">
      <w:pPr>
        <w:spacing w:after="4" w:line="251" w:lineRule="auto"/>
        <w:rPr>
          <w:rFonts w:cs="Calibri"/>
          <w:color w:val="000000" w:themeColor="text1"/>
          <w:sz w:val="24"/>
          <w:szCs w:val="24"/>
          <w:lang w:eastAsia="en-GB"/>
        </w:rPr>
      </w:pPr>
    </w:p>
    <w:p w14:paraId="524F43EA" w14:textId="1AE17163" w:rsidR="00063F3D" w:rsidRDefault="00063F3D" w:rsidP="161C42D0">
      <w:pPr>
        <w:pStyle w:val="Heading2"/>
        <w:rPr>
          <w:rFonts w:eastAsia="Calibri"/>
        </w:rPr>
      </w:pPr>
      <w:bookmarkStart w:id="10" w:name="_Toc184985245"/>
      <w:r w:rsidRPr="161C42D0">
        <w:rPr>
          <w:rFonts w:eastAsia="Calibri"/>
        </w:rPr>
        <w:t xml:space="preserve">Arrears </w:t>
      </w:r>
      <w:r w:rsidR="00A94323" w:rsidRPr="161C42D0">
        <w:rPr>
          <w:rFonts w:eastAsia="Calibri"/>
        </w:rPr>
        <w:t>R</w:t>
      </w:r>
      <w:r w:rsidRPr="161C42D0">
        <w:rPr>
          <w:rFonts w:eastAsia="Calibri"/>
        </w:rPr>
        <w:t>ecovery</w:t>
      </w:r>
      <w:bookmarkEnd w:id="10"/>
    </w:p>
    <w:p w14:paraId="0558AD85" w14:textId="65809670" w:rsidR="004B5478" w:rsidRDefault="00C52739" w:rsidP="00C52739">
      <w:pPr>
        <w:spacing w:after="0" w:line="241" w:lineRule="auto"/>
        <w:ind w:right="600"/>
        <w:jc w:val="both"/>
        <w:rPr>
          <w:sz w:val="24"/>
          <w:szCs w:val="24"/>
        </w:rPr>
      </w:pPr>
      <w:r w:rsidRPr="161C42D0">
        <w:rPr>
          <w:sz w:val="24"/>
          <w:szCs w:val="24"/>
        </w:rPr>
        <w:t>Rent arrears recovery will be based on a preventative approach, with a staged escalation process</w:t>
      </w:r>
      <w:r w:rsidR="00F367A3" w:rsidRPr="161C42D0">
        <w:rPr>
          <w:sz w:val="24"/>
          <w:szCs w:val="24"/>
        </w:rPr>
        <w:t xml:space="preserve"> with emphasis on </w:t>
      </w:r>
      <w:r w:rsidR="00C2230F" w:rsidRPr="161C42D0">
        <w:rPr>
          <w:sz w:val="24"/>
          <w:szCs w:val="24"/>
        </w:rPr>
        <w:t xml:space="preserve">timely and </w:t>
      </w:r>
      <w:r w:rsidR="00730A98" w:rsidRPr="161C42D0">
        <w:rPr>
          <w:sz w:val="24"/>
          <w:szCs w:val="24"/>
        </w:rPr>
        <w:t xml:space="preserve">proportionate </w:t>
      </w:r>
      <w:r w:rsidR="00C2230F" w:rsidRPr="161C42D0">
        <w:rPr>
          <w:sz w:val="24"/>
          <w:szCs w:val="24"/>
        </w:rPr>
        <w:t>action</w:t>
      </w:r>
      <w:r w:rsidRPr="161C42D0">
        <w:rPr>
          <w:sz w:val="24"/>
          <w:szCs w:val="24"/>
        </w:rPr>
        <w:t xml:space="preserve">. </w:t>
      </w:r>
      <w:r w:rsidR="009F10F3" w:rsidRPr="161C42D0">
        <w:rPr>
          <w:sz w:val="24"/>
          <w:szCs w:val="24"/>
        </w:rPr>
        <w:t xml:space="preserve">We will only seek legal possession of a property as a last resort </w:t>
      </w:r>
      <w:r w:rsidR="00C11F65" w:rsidRPr="161C42D0">
        <w:rPr>
          <w:sz w:val="24"/>
          <w:szCs w:val="24"/>
        </w:rPr>
        <w:t xml:space="preserve">and </w:t>
      </w:r>
      <w:r w:rsidR="009F10F3" w:rsidRPr="161C42D0">
        <w:rPr>
          <w:sz w:val="24"/>
          <w:szCs w:val="24"/>
        </w:rPr>
        <w:t xml:space="preserve">where other alternatives have failed or where the resident has failed to engage with us without reason.  </w:t>
      </w:r>
    </w:p>
    <w:p w14:paraId="7597F611" w14:textId="77777777" w:rsidR="004B5478" w:rsidRDefault="004B5478" w:rsidP="00C52739">
      <w:pPr>
        <w:spacing w:after="0" w:line="241" w:lineRule="auto"/>
        <w:ind w:right="600"/>
        <w:jc w:val="both"/>
        <w:rPr>
          <w:sz w:val="24"/>
          <w:szCs w:val="24"/>
        </w:rPr>
      </w:pPr>
    </w:p>
    <w:p w14:paraId="04DCD2A6" w14:textId="6795B6F0" w:rsidR="009F10F3" w:rsidRDefault="009F10F3" w:rsidP="00C52739">
      <w:pPr>
        <w:spacing w:after="0" w:line="241" w:lineRule="auto"/>
        <w:ind w:right="600"/>
        <w:jc w:val="both"/>
        <w:rPr>
          <w:sz w:val="24"/>
          <w:szCs w:val="24"/>
        </w:rPr>
      </w:pPr>
      <w:r w:rsidRPr="00FC01F5">
        <w:rPr>
          <w:sz w:val="24"/>
          <w:szCs w:val="24"/>
        </w:rPr>
        <w:t xml:space="preserve">Where legal action has been taken and the court awards Housing 21 with either a full possession or suspended possession order, we will also look to recover </w:t>
      </w:r>
      <w:r w:rsidR="00FB57BD">
        <w:rPr>
          <w:sz w:val="24"/>
          <w:szCs w:val="24"/>
        </w:rPr>
        <w:t xml:space="preserve">court </w:t>
      </w:r>
      <w:r w:rsidRPr="00FC01F5">
        <w:rPr>
          <w:sz w:val="24"/>
          <w:szCs w:val="24"/>
        </w:rPr>
        <w:t>costs incurred as part of the claim.</w:t>
      </w:r>
    </w:p>
    <w:p w14:paraId="3C47CA18" w14:textId="77777777" w:rsidR="004D348A" w:rsidRDefault="004D348A" w:rsidP="00C52739">
      <w:pPr>
        <w:spacing w:after="0" w:line="241" w:lineRule="auto"/>
        <w:ind w:right="600"/>
        <w:jc w:val="both"/>
        <w:rPr>
          <w:sz w:val="24"/>
          <w:szCs w:val="24"/>
        </w:rPr>
      </w:pPr>
    </w:p>
    <w:p w14:paraId="0B73DC93" w14:textId="77777777" w:rsidR="007103C8" w:rsidRDefault="007103C8" w:rsidP="00C52739">
      <w:pPr>
        <w:spacing w:after="0" w:line="241" w:lineRule="auto"/>
        <w:ind w:right="600"/>
        <w:jc w:val="both"/>
        <w:rPr>
          <w:rFonts w:eastAsia="Times New Roman"/>
          <w:b/>
          <w:bCs/>
          <w:lang w:eastAsia="en-GB"/>
        </w:rPr>
      </w:pPr>
      <w:r>
        <w:rPr>
          <w:rFonts w:eastAsia="Times New Roman"/>
          <w:b/>
          <w:bCs/>
          <w:lang w:eastAsia="en-GB"/>
        </w:rPr>
        <w:t>Mental Capacity and Public Sector Equality Duty</w:t>
      </w:r>
    </w:p>
    <w:p w14:paraId="4CF14CE0" w14:textId="77777777" w:rsidR="004F1003" w:rsidRPr="005108BB" w:rsidRDefault="004F1003" w:rsidP="004F1003">
      <w:pPr>
        <w:spacing w:after="0" w:line="241" w:lineRule="auto"/>
        <w:ind w:right="600"/>
        <w:jc w:val="both"/>
        <w:rPr>
          <w:sz w:val="24"/>
          <w:szCs w:val="24"/>
        </w:rPr>
      </w:pPr>
      <w:r w:rsidRPr="005108BB">
        <w:rPr>
          <w:sz w:val="24"/>
          <w:szCs w:val="24"/>
        </w:rPr>
        <w:t>Housing 21 is committed to complying with the principles of the Mental Capacity Act 2005 and the Public Sector Equality Duty (PSED) in all matters relating to rent arrears. We recognise that some residents may have disabilities or other protected characteristics that impact their ability to manage their financial affairs. In such cases, we will:</w:t>
      </w:r>
    </w:p>
    <w:p w14:paraId="601F1E11" w14:textId="77777777" w:rsidR="004F1003" w:rsidRPr="005108BB" w:rsidRDefault="004F1003" w:rsidP="005108BB">
      <w:pPr>
        <w:pStyle w:val="ListParagraph"/>
        <w:numPr>
          <w:ilvl w:val="0"/>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Identify Capacity Issues Early: Where there are concerns that a resident may lack the capacity to manage their financial affairs, we will act promptly to ensure these concerns are addressed, including arranging a formal capacity assessment where appropriate.</w:t>
      </w:r>
    </w:p>
    <w:p w14:paraId="24D15336" w14:textId="77777777" w:rsidR="004F1003" w:rsidRPr="005108BB" w:rsidRDefault="004F1003" w:rsidP="005108BB">
      <w:pPr>
        <w:pStyle w:val="ListParagraph"/>
        <w:numPr>
          <w:ilvl w:val="0"/>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Suspend Recovery Actions: Recovery actions will be suspended while capacity issues are assessed, ensuring residents are not disadvantaged due to disability or other protected characteristics.</w:t>
      </w:r>
    </w:p>
    <w:p w14:paraId="0D71FAB7" w14:textId="77777777" w:rsidR="004F1003" w:rsidRPr="005108BB" w:rsidRDefault="004F1003" w:rsidP="005108BB">
      <w:pPr>
        <w:pStyle w:val="ListParagraph"/>
        <w:numPr>
          <w:ilvl w:val="0"/>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Act in the Resident’s Best Interests: Where a resident is found to lack capacity, we will act in their best interests by:</w:t>
      </w:r>
    </w:p>
    <w:p w14:paraId="68ABE584" w14:textId="77777777" w:rsidR="004F1003" w:rsidRPr="005108BB" w:rsidRDefault="004F1003" w:rsidP="005108BB">
      <w:pPr>
        <w:pStyle w:val="ListParagraph"/>
        <w:numPr>
          <w:ilvl w:val="1"/>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Collaborating with their legal representatives, such as deputies or attorneys.</w:t>
      </w:r>
    </w:p>
    <w:p w14:paraId="2590EB25" w14:textId="77777777" w:rsidR="004F1003" w:rsidRPr="005108BB" w:rsidRDefault="004F1003" w:rsidP="005108BB">
      <w:pPr>
        <w:pStyle w:val="ListParagraph"/>
        <w:numPr>
          <w:ilvl w:val="1"/>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Working with family members, advocates, or support networks where appropriate.</w:t>
      </w:r>
    </w:p>
    <w:p w14:paraId="4399BD63" w14:textId="77777777" w:rsidR="004F1003" w:rsidRPr="005108BB" w:rsidRDefault="004F1003" w:rsidP="005108BB">
      <w:pPr>
        <w:pStyle w:val="ListParagraph"/>
        <w:numPr>
          <w:ilvl w:val="1"/>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Allowing sufficient time for legal representatives to be appointed if needed.</w:t>
      </w:r>
    </w:p>
    <w:p w14:paraId="7C035BB9" w14:textId="77777777" w:rsidR="004F1003" w:rsidRPr="005108BB" w:rsidRDefault="004F1003" w:rsidP="005108BB">
      <w:pPr>
        <w:pStyle w:val="ListParagraph"/>
        <w:numPr>
          <w:ilvl w:val="0"/>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Resume Recovery Actions Fairly: Recovery actions will only resume when appropriate support is in place, ensuring that any decisions are made fairly and without discrimination.</w:t>
      </w:r>
    </w:p>
    <w:p w14:paraId="27E2C377" w14:textId="77777777" w:rsidR="004F1003" w:rsidRPr="005108BB" w:rsidRDefault="004F1003" w:rsidP="005108BB">
      <w:pPr>
        <w:pStyle w:val="ListParagraph"/>
        <w:numPr>
          <w:ilvl w:val="0"/>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Safeguarding Considerations: Any safeguarding concerns, including potential financial abuse or neglect, will be referred to the appropriate authorities or safeguarding teams in line with our safeguarding policy.</w:t>
      </w:r>
    </w:p>
    <w:p w14:paraId="41717E6D" w14:textId="77777777" w:rsidR="004F1003" w:rsidRPr="005108BB" w:rsidRDefault="004F1003" w:rsidP="005108BB">
      <w:pPr>
        <w:pStyle w:val="ListParagraph"/>
        <w:numPr>
          <w:ilvl w:val="0"/>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Public Sector Equality Duty Compliance: In all actions, we will have due regard to our obligations under the PSED to:</w:t>
      </w:r>
    </w:p>
    <w:p w14:paraId="3A0BFF67" w14:textId="77777777" w:rsidR="004F1003" w:rsidRPr="005108BB" w:rsidRDefault="004F1003" w:rsidP="005108BB">
      <w:pPr>
        <w:pStyle w:val="ListParagraph"/>
        <w:numPr>
          <w:ilvl w:val="1"/>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Eliminate discrimination, harassment, and victimisation.</w:t>
      </w:r>
    </w:p>
    <w:p w14:paraId="7951EA28" w14:textId="77777777" w:rsidR="004F1003" w:rsidRPr="005108BB" w:rsidRDefault="004F1003" w:rsidP="005108BB">
      <w:pPr>
        <w:pStyle w:val="ListParagraph"/>
        <w:numPr>
          <w:ilvl w:val="1"/>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Advance equality of opportunity by removing or minimising disadvantages experienced by residents with disabilities or other protected characteristics.</w:t>
      </w:r>
    </w:p>
    <w:p w14:paraId="5690F545" w14:textId="77777777" w:rsidR="004F1003" w:rsidRPr="005108BB" w:rsidRDefault="004F1003" w:rsidP="005108BB">
      <w:pPr>
        <w:pStyle w:val="ListParagraph"/>
        <w:numPr>
          <w:ilvl w:val="1"/>
          <w:numId w:val="1"/>
        </w:numPr>
        <w:spacing w:after="68" w:line="251" w:lineRule="auto"/>
        <w:rPr>
          <w:rFonts w:cs="Calibri"/>
          <w:color w:val="000000"/>
          <w:kern w:val="2"/>
          <w:sz w:val="24"/>
          <w:szCs w:val="24"/>
          <w:lang w:eastAsia="en-GB"/>
          <w14:ligatures w14:val="standardContextual"/>
        </w:rPr>
      </w:pPr>
      <w:r w:rsidRPr="005108BB">
        <w:rPr>
          <w:rFonts w:cs="Calibri"/>
          <w:color w:val="000000"/>
          <w:kern w:val="2"/>
          <w:sz w:val="24"/>
          <w:szCs w:val="24"/>
          <w:lang w:eastAsia="en-GB"/>
          <w14:ligatures w14:val="standardContextual"/>
        </w:rPr>
        <w:t>Foster good relations, ensuring that residents and their representatives are treated with dignity, respect, and fairness throughout the process.</w:t>
      </w:r>
    </w:p>
    <w:p w14:paraId="0C6C5EDA" w14:textId="77777777" w:rsidR="007103C8" w:rsidRPr="005108BB" w:rsidRDefault="007103C8" w:rsidP="005108BB">
      <w:pPr>
        <w:pStyle w:val="ListParagraph"/>
        <w:spacing w:after="68" w:line="251" w:lineRule="auto"/>
        <w:ind w:left="1440"/>
        <w:rPr>
          <w:rFonts w:cs="Calibri"/>
          <w:color w:val="000000"/>
          <w:kern w:val="2"/>
          <w:sz w:val="24"/>
          <w:szCs w:val="24"/>
          <w:lang w:eastAsia="en-GB"/>
          <w14:ligatures w14:val="standardContextual"/>
        </w:rPr>
      </w:pPr>
    </w:p>
    <w:p w14:paraId="67F82FAE" w14:textId="0A191C64" w:rsidR="00F64BB0" w:rsidRPr="00EE2E11" w:rsidRDefault="00F64BB0" w:rsidP="00A94323">
      <w:pPr>
        <w:pStyle w:val="Heading2"/>
        <w:rPr>
          <w:rFonts w:eastAsia="Calibri"/>
        </w:rPr>
      </w:pPr>
      <w:bookmarkStart w:id="11" w:name="_Toc184985246"/>
      <w:r w:rsidRPr="00EE2E11">
        <w:rPr>
          <w:rFonts w:eastAsia="Calibri"/>
        </w:rPr>
        <w:t>Helping Hands</w:t>
      </w:r>
      <w:bookmarkEnd w:id="11"/>
      <w:r w:rsidRPr="00EE2E11">
        <w:rPr>
          <w:rFonts w:eastAsia="Calibri"/>
        </w:rPr>
        <w:t xml:space="preserve"> </w:t>
      </w:r>
    </w:p>
    <w:p w14:paraId="3606D535" w14:textId="10BEC63B" w:rsidR="00B15476" w:rsidRPr="00EE2E11" w:rsidRDefault="004A00AD" w:rsidP="00B15476">
      <w:pPr>
        <w:rPr>
          <w:sz w:val="24"/>
          <w:szCs w:val="24"/>
        </w:rPr>
      </w:pPr>
      <w:r w:rsidRPr="161C42D0">
        <w:rPr>
          <w:sz w:val="24"/>
          <w:szCs w:val="24"/>
        </w:rPr>
        <w:t xml:space="preserve">The Helping Hands </w:t>
      </w:r>
      <w:r w:rsidR="00F507CD" w:rsidRPr="161C42D0">
        <w:rPr>
          <w:sz w:val="24"/>
          <w:szCs w:val="24"/>
        </w:rPr>
        <w:t xml:space="preserve">project </w:t>
      </w:r>
      <w:r w:rsidR="7D02DCFD" w:rsidRPr="161C42D0">
        <w:rPr>
          <w:sz w:val="24"/>
          <w:szCs w:val="24"/>
        </w:rPr>
        <w:t xml:space="preserve">enables </w:t>
      </w:r>
      <w:r w:rsidR="00F507CD" w:rsidRPr="161C42D0">
        <w:rPr>
          <w:sz w:val="24"/>
          <w:szCs w:val="24"/>
        </w:rPr>
        <w:t xml:space="preserve">scheme managers </w:t>
      </w:r>
      <w:r w:rsidR="00E3455F" w:rsidRPr="161C42D0">
        <w:rPr>
          <w:sz w:val="24"/>
          <w:szCs w:val="24"/>
        </w:rPr>
        <w:t xml:space="preserve">to support residents </w:t>
      </w:r>
      <w:r w:rsidR="00F507CD" w:rsidRPr="161C42D0">
        <w:rPr>
          <w:sz w:val="24"/>
          <w:szCs w:val="24"/>
        </w:rPr>
        <w:t>with</w:t>
      </w:r>
      <w:r w:rsidR="00D44FD7" w:rsidRPr="161C42D0">
        <w:rPr>
          <w:sz w:val="24"/>
          <w:szCs w:val="24"/>
        </w:rPr>
        <w:t xml:space="preserve"> access to </w:t>
      </w:r>
      <w:r w:rsidR="00F507CD" w:rsidRPr="161C42D0">
        <w:rPr>
          <w:sz w:val="24"/>
          <w:szCs w:val="24"/>
        </w:rPr>
        <w:t>benefit advice</w:t>
      </w:r>
      <w:r w:rsidR="00ED0244" w:rsidRPr="161C42D0">
        <w:rPr>
          <w:sz w:val="24"/>
          <w:szCs w:val="24"/>
        </w:rPr>
        <w:t xml:space="preserve"> and literature</w:t>
      </w:r>
      <w:r w:rsidR="00B446EF" w:rsidRPr="161C42D0">
        <w:rPr>
          <w:sz w:val="24"/>
          <w:szCs w:val="24"/>
        </w:rPr>
        <w:t xml:space="preserve"> </w:t>
      </w:r>
      <w:r w:rsidR="00CB28D6" w:rsidRPr="161C42D0">
        <w:rPr>
          <w:sz w:val="24"/>
          <w:szCs w:val="24"/>
        </w:rPr>
        <w:t xml:space="preserve">and to the </w:t>
      </w:r>
      <w:r w:rsidR="00ED0244" w:rsidRPr="161C42D0">
        <w:rPr>
          <w:sz w:val="24"/>
          <w:szCs w:val="24"/>
        </w:rPr>
        <w:t xml:space="preserve">Helping Hands </w:t>
      </w:r>
      <w:r w:rsidR="00A45701" w:rsidRPr="161C42D0">
        <w:rPr>
          <w:sz w:val="24"/>
          <w:szCs w:val="24"/>
        </w:rPr>
        <w:t xml:space="preserve">Fund which </w:t>
      </w:r>
      <w:r w:rsidR="00CB28D6" w:rsidRPr="161C42D0">
        <w:rPr>
          <w:sz w:val="24"/>
          <w:szCs w:val="24"/>
        </w:rPr>
        <w:t>can provide financial support</w:t>
      </w:r>
      <w:r w:rsidR="79410F78" w:rsidRPr="161C42D0">
        <w:rPr>
          <w:sz w:val="24"/>
          <w:szCs w:val="24"/>
        </w:rPr>
        <w:t>,</w:t>
      </w:r>
      <w:r w:rsidR="00CB28D6" w:rsidRPr="161C42D0">
        <w:rPr>
          <w:sz w:val="24"/>
          <w:szCs w:val="24"/>
        </w:rPr>
        <w:t xml:space="preserve"> </w:t>
      </w:r>
      <w:r w:rsidR="00A45701" w:rsidRPr="161C42D0">
        <w:rPr>
          <w:sz w:val="24"/>
          <w:szCs w:val="24"/>
        </w:rPr>
        <w:t>help</w:t>
      </w:r>
      <w:r w:rsidR="77F8F4BA" w:rsidRPr="161C42D0">
        <w:rPr>
          <w:sz w:val="24"/>
          <w:szCs w:val="24"/>
        </w:rPr>
        <w:t>ing</w:t>
      </w:r>
      <w:r w:rsidR="00A45701" w:rsidRPr="161C42D0">
        <w:rPr>
          <w:sz w:val="24"/>
          <w:szCs w:val="24"/>
        </w:rPr>
        <w:t xml:space="preserve"> residents </w:t>
      </w:r>
      <w:r w:rsidR="00E82F00" w:rsidRPr="161C42D0">
        <w:rPr>
          <w:sz w:val="24"/>
          <w:szCs w:val="24"/>
        </w:rPr>
        <w:t xml:space="preserve">who are struggling with their finances. </w:t>
      </w:r>
      <w:r w:rsidR="00F507CD" w:rsidRPr="161C42D0">
        <w:rPr>
          <w:sz w:val="24"/>
          <w:szCs w:val="24"/>
        </w:rPr>
        <w:t xml:space="preserve">  </w:t>
      </w:r>
    </w:p>
    <w:p w14:paraId="2DE277DC" w14:textId="2482020A" w:rsidR="00063F3D" w:rsidRPr="00FC01F5" w:rsidRDefault="00063F3D" w:rsidP="00A94323">
      <w:pPr>
        <w:pStyle w:val="Heading2"/>
        <w:rPr>
          <w:rFonts w:eastAsia="Calibri"/>
        </w:rPr>
      </w:pPr>
      <w:bookmarkStart w:id="12" w:name="_Toc184985247"/>
      <w:r w:rsidRPr="00FC01F5">
        <w:rPr>
          <w:rFonts w:eastAsia="Calibri"/>
        </w:rPr>
        <w:t xml:space="preserve">Use of </w:t>
      </w:r>
      <w:r w:rsidR="00A94323">
        <w:rPr>
          <w:rFonts w:eastAsia="Calibri"/>
        </w:rPr>
        <w:t>S</w:t>
      </w:r>
      <w:r w:rsidRPr="00FC01F5">
        <w:rPr>
          <w:rFonts w:eastAsia="Calibri"/>
        </w:rPr>
        <w:t xml:space="preserve">ection 21 </w:t>
      </w:r>
      <w:r w:rsidR="00A94323">
        <w:rPr>
          <w:rFonts w:eastAsia="Calibri"/>
        </w:rPr>
        <w:t>N</w:t>
      </w:r>
      <w:r w:rsidRPr="00FC01F5">
        <w:rPr>
          <w:rFonts w:eastAsia="Calibri"/>
        </w:rPr>
        <w:t>otices</w:t>
      </w:r>
      <w:bookmarkEnd w:id="12"/>
    </w:p>
    <w:p w14:paraId="4B3D1791" w14:textId="22258D6A" w:rsidR="00D92E73" w:rsidRPr="00FC01F5" w:rsidRDefault="00D92E73" w:rsidP="00D92E73">
      <w:pPr>
        <w:rPr>
          <w:sz w:val="24"/>
          <w:szCs w:val="24"/>
        </w:rPr>
      </w:pPr>
      <w:r w:rsidRPr="161C42D0">
        <w:rPr>
          <w:sz w:val="24"/>
          <w:szCs w:val="24"/>
        </w:rPr>
        <w:t xml:space="preserve">During the first year of </w:t>
      </w:r>
      <w:r w:rsidR="5E734C0C" w:rsidRPr="161C42D0">
        <w:rPr>
          <w:sz w:val="24"/>
          <w:szCs w:val="24"/>
        </w:rPr>
        <w:t>s</w:t>
      </w:r>
      <w:r w:rsidRPr="161C42D0">
        <w:rPr>
          <w:sz w:val="24"/>
          <w:szCs w:val="24"/>
        </w:rPr>
        <w:t>tarter tenancies, not earlier than four months, we may choose to serve a Section 21 notice</w:t>
      </w:r>
      <w:r w:rsidR="007F5D78" w:rsidRPr="161C42D0">
        <w:rPr>
          <w:sz w:val="24"/>
          <w:szCs w:val="24"/>
        </w:rPr>
        <w:t xml:space="preserve"> if all other attempts </w:t>
      </w:r>
      <w:r w:rsidR="000A76DA" w:rsidRPr="161C42D0">
        <w:rPr>
          <w:sz w:val="24"/>
          <w:szCs w:val="24"/>
        </w:rPr>
        <w:t xml:space="preserve">to recover the arrears </w:t>
      </w:r>
      <w:r w:rsidR="00A2412C" w:rsidRPr="161C42D0">
        <w:rPr>
          <w:sz w:val="24"/>
          <w:szCs w:val="24"/>
        </w:rPr>
        <w:t>have failed</w:t>
      </w:r>
      <w:r w:rsidR="005D1D51" w:rsidRPr="161C42D0">
        <w:rPr>
          <w:sz w:val="24"/>
          <w:szCs w:val="24"/>
        </w:rPr>
        <w:t xml:space="preserve"> and we have followed the Collect with Care Approach</w:t>
      </w:r>
      <w:r w:rsidRPr="161C42D0">
        <w:rPr>
          <w:sz w:val="24"/>
          <w:szCs w:val="24"/>
        </w:rPr>
        <w:t xml:space="preserve">. For clarity, the supporting procedures to this </w:t>
      </w:r>
      <w:r w:rsidR="002B14C2" w:rsidRPr="161C42D0">
        <w:rPr>
          <w:sz w:val="24"/>
          <w:szCs w:val="24"/>
        </w:rPr>
        <w:t xml:space="preserve">policy document are included in the </w:t>
      </w:r>
      <w:r w:rsidR="6794E974" w:rsidRPr="161C42D0">
        <w:rPr>
          <w:sz w:val="24"/>
          <w:szCs w:val="24"/>
        </w:rPr>
        <w:t>S</w:t>
      </w:r>
      <w:r w:rsidR="002B14C2" w:rsidRPr="161C42D0">
        <w:rPr>
          <w:sz w:val="24"/>
          <w:szCs w:val="24"/>
        </w:rPr>
        <w:t xml:space="preserve">tarter </w:t>
      </w:r>
      <w:r w:rsidR="07FE8EE3" w:rsidRPr="161C42D0">
        <w:rPr>
          <w:sz w:val="24"/>
          <w:szCs w:val="24"/>
        </w:rPr>
        <w:t>T</w:t>
      </w:r>
      <w:r w:rsidR="002B14C2" w:rsidRPr="161C42D0">
        <w:rPr>
          <w:sz w:val="24"/>
          <w:szCs w:val="24"/>
        </w:rPr>
        <w:t xml:space="preserve">enancy </w:t>
      </w:r>
      <w:r w:rsidR="79A81FBD" w:rsidRPr="161C42D0">
        <w:rPr>
          <w:sz w:val="24"/>
          <w:szCs w:val="24"/>
        </w:rPr>
        <w:t>P</w:t>
      </w:r>
      <w:r w:rsidR="002B14C2" w:rsidRPr="161C42D0">
        <w:rPr>
          <w:sz w:val="24"/>
          <w:szCs w:val="24"/>
        </w:rPr>
        <w:t xml:space="preserve">olicy and </w:t>
      </w:r>
      <w:r w:rsidR="402ECC93" w:rsidRPr="161C42D0">
        <w:rPr>
          <w:sz w:val="24"/>
          <w:szCs w:val="24"/>
        </w:rPr>
        <w:t>P</w:t>
      </w:r>
      <w:r w:rsidR="002B14C2" w:rsidRPr="161C42D0">
        <w:rPr>
          <w:sz w:val="24"/>
          <w:szCs w:val="24"/>
        </w:rPr>
        <w:t xml:space="preserve">rocedure which details </w:t>
      </w:r>
      <w:r w:rsidRPr="161C42D0">
        <w:rPr>
          <w:sz w:val="24"/>
          <w:szCs w:val="24"/>
        </w:rPr>
        <w:t>when a Section 21 notice will be used</w:t>
      </w:r>
      <w:r w:rsidR="002B14C2" w:rsidRPr="161C42D0">
        <w:rPr>
          <w:sz w:val="24"/>
          <w:szCs w:val="24"/>
        </w:rPr>
        <w:t xml:space="preserve">. </w:t>
      </w:r>
    </w:p>
    <w:p w14:paraId="783E9D0F" w14:textId="3B432284" w:rsidR="00063F3D" w:rsidRPr="00FC01F5" w:rsidRDefault="00855DAE" w:rsidP="00A94323">
      <w:pPr>
        <w:pStyle w:val="Heading2"/>
        <w:rPr>
          <w:rFonts w:eastAsia="Calibri"/>
        </w:rPr>
      </w:pPr>
      <w:bookmarkStart w:id="13" w:name="_Toc184985248"/>
      <w:r w:rsidRPr="00FC01F5">
        <w:rPr>
          <w:rFonts w:eastAsia="Calibri"/>
        </w:rPr>
        <w:t xml:space="preserve">Use of </w:t>
      </w:r>
      <w:r w:rsidR="00A94323">
        <w:rPr>
          <w:rFonts w:eastAsia="Calibri"/>
        </w:rPr>
        <w:t>G</w:t>
      </w:r>
      <w:r w:rsidRPr="00FC01F5">
        <w:rPr>
          <w:rFonts w:eastAsia="Calibri"/>
        </w:rPr>
        <w:t xml:space="preserve">round 8 </w:t>
      </w:r>
      <w:r w:rsidR="00A94323">
        <w:rPr>
          <w:rFonts w:eastAsia="Calibri"/>
        </w:rPr>
        <w:t>P</w:t>
      </w:r>
      <w:r w:rsidRPr="00FC01F5">
        <w:rPr>
          <w:rFonts w:eastAsia="Calibri"/>
        </w:rPr>
        <w:t xml:space="preserve">ossession </w:t>
      </w:r>
      <w:r w:rsidR="00A94323">
        <w:rPr>
          <w:rFonts w:eastAsia="Calibri"/>
        </w:rPr>
        <w:t>P</w:t>
      </w:r>
      <w:r w:rsidRPr="00FC01F5">
        <w:rPr>
          <w:rFonts w:eastAsia="Calibri"/>
        </w:rPr>
        <w:t>roceedings</w:t>
      </w:r>
      <w:bookmarkEnd w:id="13"/>
    </w:p>
    <w:p w14:paraId="31E42319" w14:textId="59C8248A" w:rsidR="000262A6" w:rsidRDefault="000262A6" w:rsidP="000262A6">
      <w:pPr>
        <w:rPr>
          <w:sz w:val="24"/>
          <w:szCs w:val="24"/>
        </w:rPr>
      </w:pPr>
      <w:r w:rsidRPr="161C42D0">
        <w:rPr>
          <w:sz w:val="24"/>
          <w:szCs w:val="24"/>
        </w:rPr>
        <w:t xml:space="preserve">In most circumstances discretionary grounds for possession during legal proceedings will be used enabling courts to decide whether possession is reasonable and proportionate to the circumstances of each case. The mandatory rent arrears Ground 8 </w:t>
      </w:r>
      <w:r w:rsidR="00D92E73" w:rsidRPr="161C42D0">
        <w:rPr>
          <w:sz w:val="24"/>
          <w:szCs w:val="24"/>
        </w:rPr>
        <w:t xml:space="preserve">can only be used </w:t>
      </w:r>
      <w:r w:rsidR="00474F64" w:rsidRPr="161C42D0">
        <w:rPr>
          <w:sz w:val="24"/>
          <w:szCs w:val="24"/>
        </w:rPr>
        <w:t xml:space="preserve">as a last resort </w:t>
      </w:r>
      <w:r w:rsidR="00D53999" w:rsidRPr="161C42D0">
        <w:rPr>
          <w:sz w:val="24"/>
          <w:szCs w:val="24"/>
        </w:rPr>
        <w:t xml:space="preserve">and where </w:t>
      </w:r>
      <w:r w:rsidRPr="161C42D0">
        <w:rPr>
          <w:sz w:val="24"/>
          <w:szCs w:val="24"/>
        </w:rPr>
        <w:t xml:space="preserve">authorisation </w:t>
      </w:r>
      <w:r w:rsidR="00D92E73" w:rsidRPr="161C42D0">
        <w:rPr>
          <w:sz w:val="24"/>
          <w:szCs w:val="24"/>
        </w:rPr>
        <w:t xml:space="preserve">has been granted </w:t>
      </w:r>
      <w:r w:rsidRPr="161C42D0">
        <w:rPr>
          <w:sz w:val="24"/>
          <w:szCs w:val="24"/>
        </w:rPr>
        <w:t xml:space="preserve">by </w:t>
      </w:r>
      <w:r w:rsidR="00D92E73" w:rsidRPr="161C42D0">
        <w:rPr>
          <w:sz w:val="24"/>
          <w:szCs w:val="24"/>
        </w:rPr>
        <w:t xml:space="preserve">a </w:t>
      </w:r>
      <w:r w:rsidR="618BC0F2" w:rsidRPr="161C42D0">
        <w:rPr>
          <w:sz w:val="24"/>
          <w:szCs w:val="24"/>
        </w:rPr>
        <w:t>m</w:t>
      </w:r>
      <w:r w:rsidR="00D92E73" w:rsidRPr="161C42D0">
        <w:rPr>
          <w:sz w:val="24"/>
          <w:szCs w:val="24"/>
        </w:rPr>
        <w:t xml:space="preserve">anaging </w:t>
      </w:r>
      <w:r w:rsidR="68BDFC13" w:rsidRPr="161C42D0">
        <w:rPr>
          <w:sz w:val="24"/>
          <w:szCs w:val="24"/>
        </w:rPr>
        <w:t>d</w:t>
      </w:r>
      <w:r w:rsidRPr="161C42D0">
        <w:rPr>
          <w:sz w:val="24"/>
          <w:szCs w:val="24"/>
        </w:rPr>
        <w:t xml:space="preserve">irector. </w:t>
      </w:r>
    </w:p>
    <w:p w14:paraId="3AC15BE7" w14:textId="27F63712" w:rsidR="00551FAD" w:rsidRPr="00FC01F5" w:rsidRDefault="00551FAD" w:rsidP="00A94323">
      <w:pPr>
        <w:pStyle w:val="Heading2"/>
        <w:rPr>
          <w:rFonts w:eastAsia="Calibri"/>
        </w:rPr>
      </w:pPr>
      <w:bookmarkStart w:id="14" w:name="_Toc184985249"/>
      <w:r w:rsidRPr="00FC01F5">
        <w:rPr>
          <w:rFonts w:eastAsia="Calibri"/>
        </w:rPr>
        <w:t xml:space="preserve">Breathing </w:t>
      </w:r>
      <w:r w:rsidR="00A94323">
        <w:rPr>
          <w:rFonts w:eastAsia="Calibri"/>
        </w:rPr>
        <w:t>S</w:t>
      </w:r>
      <w:r w:rsidRPr="00FC01F5">
        <w:rPr>
          <w:rFonts w:eastAsia="Calibri"/>
        </w:rPr>
        <w:t>pace</w:t>
      </w:r>
      <w:r w:rsidR="00D53999">
        <w:rPr>
          <w:rFonts w:eastAsia="Calibri"/>
        </w:rPr>
        <w:t xml:space="preserve"> and Debt Relief Orders</w:t>
      </w:r>
      <w:bookmarkEnd w:id="14"/>
      <w:r w:rsidR="00D53999">
        <w:rPr>
          <w:rFonts w:eastAsia="Calibri"/>
        </w:rPr>
        <w:t xml:space="preserve"> </w:t>
      </w:r>
    </w:p>
    <w:p w14:paraId="26EF7D8B" w14:textId="341FEDCD" w:rsidR="00551FAD" w:rsidRDefault="00551FAD" w:rsidP="00551FAD">
      <w:pPr>
        <w:rPr>
          <w:sz w:val="24"/>
          <w:szCs w:val="24"/>
        </w:rPr>
      </w:pPr>
      <w:r w:rsidRPr="161C42D0">
        <w:rPr>
          <w:sz w:val="24"/>
          <w:szCs w:val="24"/>
        </w:rPr>
        <w:t xml:space="preserve">The Government Debt Respite Scheme (Breathing Space) requires the Rent Arrears Recovery Procedure to be suspended to give the residents </w:t>
      </w:r>
      <w:r w:rsidR="2F3B809A" w:rsidRPr="161C42D0">
        <w:rPr>
          <w:sz w:val="24"/>
          <w:szCs w:val="24"/>
        </w:rPr>
        <w:t>temporary protection from creditors</w:t>
      </w:r>
      <w:r w:rsidRPr="161C42D0">
        <w:rPr>
          <w:sz w:val="24"/>
          <w:szCs w:val="24"/>
        </w:rPr>
        <w:t xml:space="preserve"> to seek advice and take action to manage their debts. </w:t>
      </w:r>
    </w:p>
    <w:p w14:paraId="4CB0020E" w14:textId="77777777" w:rsidR="00551FAD" w:rsidRPr="009B4E80" w:rsidRDefault="00551FAD" w:rsidP="00551FAD">
      <w:pPr>
        <w:rPr>
          <w:sz w:val="24"/>
          <w:szCs w:val="24"/>
        </w:rPr>
      </w:pPr>
      <w:r w:rsidRPr="009B4E80">
        <w:rPr>
          <w:sz w:val="24"/>
          <w:szCs w:val="24"/>
        </w:rPr>
        <w:t>There are two types of breathing space:</w:t>
      </w:r>
    </w:p>
    <w:p w14:paraId="174BB4A5" w14:textId="77777777" w:rsidR="00551FAD" w:rsidRPr="009B4E80" w:rsidRDefault="00551FAD" w:rsidP="00551FAD">
      <w:pPr>
        <w:pStyle w:val="ListParagraph"/>
        <w:numPr>
          <w:ilvl w:val="0"/>
          <w:numId w:val="1"/>
        </w:numPr>
        <w:spacing w:after="68" w:line="251" w:lineRule="auto"/>
        <w:rPr>
          <w:rFonts w:cs="Calibri"/>
          <w:color w:val="000000"/>
          <w:kern w:val="2"/>
          <w:sz w:val="24"/>
          <w:szCs w:val="24"/>
          <w:lang w:eastAsia="en-GB"/>
          <w14:ligatures w14:val="standardContextual"/>
        </w:rPr>
      </w:pPr>
      <w:r w:rsidRPr="009B4E80">
        <w:rPr>
          <w:rFonts w:cs="Calibri"/>
          <w:color w:val="000000"/>
          <w:kern w:val="2"/>
          <w:sz w:val="24"/>
          <w:szCs w:val="24"/>
          <w:lang w:eastAsia="en-GB"/>
          <w14:ligatures w14:val="standardContextual"/>
        </w:rPr>
        <w:t>A standard breathing space</w:t>
      </w:r>
      <w:r>
        <w:rPr>
          <w:rFonts w:cs="Calibri"/>
          <w:color w:val="000000"/>
          <w:kern w:val="2"/>
          <w:sz w:val="24"/>
          <w:szCs w:val="24"/>
          <w:lang w:eastAsia="en-GB"/>
          <w14:ligatures w14:val="standardContextual"/>
        </w:rPr>
        <w:t xml:space="preserve"> which gives protection for 60 days. </w:t>
      </w:r>
    </w:p>
    <w:p w14:paraId="4E5DE473" w14:textId="77777777" w:rsidR="00551FAD" w:rsidRPr="009B4E80" w:rsidRDefault="00551FAD" w:rsidP="00551FAD">
      <w:pPr>
        <w:pStyle w:val="ListParagraph"/>
        <w:numPr>
          <w:ilvl w:val="0"/>
          <w:numId w:val="1"/>
        </w:numPr>
        <w:spacing w:after="68" w:line="251" w:lineRule="auto"/>
        <w:rPr>
          <w:sz w:val="24"/>
          <w:szCs w:val="24"/>
        </w:rPr>
      </w:pPr>
      <w:r w:rsidRPr="009B4E80">
        <w:rPr>
          <w:rFonts w:cs="Calibri"/>
          <w:color w:val="000000"/>
          <w:kern w:val="2"/>
          <w:sz w:val="24"/>
          <w:szCs w:val="24"/>
          <w:lang w:eastAsia="en-GB"/>
          <w14:ligatures w14:val="standardContextual"/>
        </w:rPr>
        <w:t>A</w:t>
      </w:r>
      <w:r w:rsidRPr="009B4E80">
        <w:rPr>
          <w:sz w:val="24"/>
          <w:szCs w:val="24"/>
        </w:rPr>
        <w:t xml:space="preserve"> mental health crisis breathing space</w:t>
      </w:r>
      <w:r>
        <w:rPr>
          <w:sz w:val="24"/>
          <w:szCs w:val="24"/>
        </w:rPr>
        <w:t xml:space="preserve"> lasts as long at the mental health crisis plus 30 days.</w:t>
      </w:r>
    </w:p>
    <w:p w14:paraId="0311E6B3" w14:textId="0D52739F" w:rsidR="00551FAD" w:rsidRDefault="00551FAD" w:rsidP="00551FAD">
      <w:pPr>
        <w:rPr>
          <w:sz w:val="24"/>
          <w:szCs w:val="24"/>
        </w:rPr>
      </w:pPr>
      <w:r w:rsidRPr="05F05E5F">
        <w:rPr>
          <w:sz w:val="24"/>
          <w:szCs w:val="24"/>
        </w:rPr>
        <w:t>Once Housing 21 is notified a breathing space is in place all recovery action must be suspended</w:t>
      </w:r>
      <w:r w:rsidR="594068D8" w:rsidRPr="05F05E5F">
        <w:rPr>
          <w:sz w:val="24"/>
          <w:szCs w:val="24"/>
        </w:rPr>
        <w:t>.</w:t>
      </w:r>
      <w:r w:rsidRPr="05F05E5F">
        <w:rPr>
          <w:sz w:val="24"/>
          <w:szCs w:val="24"/>
        </w:rPr>
        <w:t xml:space="preserve"> </w:t>
      </w:r>
      <w:r w:rsidR="3FFA9ABA" w:rsidRPr="05F05E5F">
        <w:rPr>
          <w:sz w:val="24"/>
          <w:szCs w:val="24"/>
        </w:rPr>
        <w:t>T</w:t>
      </w:r>
      <w:r w:rsidRPr="05F05E5F">
        <w:rPr>
          <w:sz w:val="24"/>
          <w:szCs w:val="24"/>
        </w:rPr>
        <w:t xml:space="preserve">his includes any conversations with the resident, letters and any legal action.  </w:t>
      </w:r>
    </w:p>
    <w:p w14:paraId="60CC091D" w14:textId="1BD1879C" w:rsidR="00551FAD" w:rsidRDefault="00551FAD" w:rsidP="00551FAD">
      <w:pPr>
        <w:rPr>
          <w:sz w:val="24"/>
          <w:szCs w:val="24"/>
        </w:rPr>
      </w:pPr>
      <w:r w:rsidRPr="161C42D0">
        <w:rPr>
          <w:sz w:val="24"/>
          <w:szCs w:val="24"/>
        </w:rPr>
        <w:t xml:space="preserve">During the breathing space, the resident is still legally required to pay their ongoing rent </w:t>
      </w:r>
      <w:r w:rsidR="00F91E6B" w:rsidRPr="161C42D0">
        <w:rPr>
          <w:sz w:val="24"/>
          <w:szCs w:val="24"/>
        </w:rPr>
        <w:t xml:space="preserve">and </w:t>
      </w:r>
      <w:r w:rsidRPr="161C42D0">
        <w:rPr>
          <w:sz w:val="24"/>
          <w:szCs w:val="24"/>
        </w:rPr>
        <w:t xml:space="preserve">charges until the completion of the scheme. </w:t>
      </w:r>
      <w:r w:rsidR="00E11F31" w:rsidRPr="161C42D0">
        <w:rPr>
          <w:sz w:val="24"/>
          <w:szCs w:val="24"/>
        </w:rPr>
        <w:t>H</w:t>
      </w:r>
      <w:r w:rsidRPr="161C42D0">
        <w:rPr>
          <w:sz w:val="24"/>
          <w:szCs w:val="24"/>
        </w:rPr>
        <w:t xml:space="preserve">ousing 21 </w:t>
      </w:r>
      <w:r w:rsidR="002C655D" w:rsidRPr="161C42D0">
        <w:rPr>
          <w:sz w:val="24"/>
          <w:szCs w:val="24"/>
        </w:rPr>
        <w:t>will be notified by the scheme when it has</w:t>
      </w:r>
      <w:r w:rsidRPr="161C42D0">
        <w:rPr>
          <w:sz w:val="24"/>
          <w:szCs w:val="24"/>
        </w:rPr>
        <w:t xml:space="preserve"> ended, at which point</w:t>
      </w:r>
      <w:r w:rsidR="0496B398" w:rsidRPr="161C42D0">
        <w:rPr>
          <w:sz w:val="24"/>
          <w:szCs w:val="24"/>
        </w:rPr>
        <w:t>,</w:t>
      </w:r>
      <w:r w:rsidRPr="161C42D0">
        <w:rPr>
          <w:sz w:val="24"/>
          <w:szCs w:val="24"/>
        </w:rPr>
        <w:t xml:space="preserve"> and if still necessary, recovery action may recommence.  </w:t>
      </w:r>
    </w:p>
    <w:p w14:paraId="6B170CB5" w14:textId="46EA6F1C" w:rsidR="00D53999" w:rsidRDefault="000A1337" w:rsidP="00551FAD">
      <w:pPr>
        <w:rPr>
          <w:sz w:val="24"/>
          <w:szCs w:val="24"/>
        </w:rPr>
      </w:pPr>
      <w:r w:rsidRPr="161C42D0">
        <w:rPr>
          <w:sz w:val="24"/>
          <w:szCs w:val="24"/>
        </w:rPr>
        <w:t xml:space="preserve">Where a resident has been granted a Debt Relief </w:t>
      </w:r>
      <w:r w:rsidR="005053CB" w:rsidRPr="161C42D0">
        <w:rPr>
          <w:sz w:val="24"/>
          <w:szCs w:val="24"/>
        </w:rPr>
        <w:t>O</w:t>
      </w:r>
      <w:r w:rsidRPr="161C42D0">
        <w:rPr>
          <w:sz w:val="24"/>
          <w:szCs w:val="24"/>
        </w:rPr>
        <w:t xml:space="preserve">rder </w:t>
      </w:r>
      <w:r w:rsidR="00AE6985" w:rsidRPr="161C42D0">
        <w:rPr>
          <w:sz w:val="24"/>
          <w:szCs w:val="24"/>
        </w:rPr>
        <w:t xml:space="preserve">(DRO) </w:t>
      </w:r>
      <w:r w:rsidR="00D634BB" w:rsidRPr="161C42D0">
        <w:rPr>
          <w:sz w:val="24"/>
          <w:szCs w:val="24"/>
        </w:rPr>
        <w:t>and rent and service charges are included as a qualifying debt</w:t>
      </w:r>
      <w:r w:rsidR="3A02DC64" w:rsidRPr="161C42D0">
        <w:rPr>
          <w:sz w:val="24"/>
          <w:szCs w:val="24"/>
        </w:rPr>
        <w:t>,</w:t>
      </w:r>
      <w:r w:rsidR="00D634BB" w:rsidRPr="161C42D0">
        <w:rPr>
          <w:sz w:val="24"/>
          <w:szCs w:val="24"/>
        </w:rPr>
        <w:t xml:space="preserve"> then </w:t>
      </w:r>
      <w:r w:rsidRPr="161C42D0">
        <w:rPr>
          <w:sz w:val="24"/>
          <w:szCs w:val="24"/>
        </w:rPr>
        <w:t xml:space="preserve">we will suspend </w:t>
      </w:r>
      <w:r w:rsidR="00B62E9A" w:rsidRPr="161C42D0">
        <w:rPr>
          <w:sz w:val="24"/>
          <w:szCs w:val="24"/>
        </w:rPr>
        <w:t xml:space="preserve">recovery action </w:t>
      </w:r>
      <w:r w:rsidR="00697D99" w:rsidRPr="161C42D0">
        <w:rPr>
          <w:sz w:val="24"/>
          <w:szCs w:val="24"/>
        </w:rPr>
        <w:t>of the</w:t>
      </w:r>
      <w:r w:rsidR="00075C8E" w:rsidRPr="161C42D0">
        <w:rPr>
          <w:sz w:val="24"/>
          <w:szCs w:val="24"/>
        </w:rPr>
        <w:t>se</w:t>
      </w:r>
      <w:r w:rsidR="00697D99" w:rsidRPr="161C42D0">
        <w:rPr>
          <w:sz w:val="24"/>
          <w:szCs w:val="24"/>
        </w:rPr>
        <w:t xml:space="preserve"> qualifying debts </w:t>
      </w:r>
      <w:r w:rsidR="00B62E9A" w:rsidRPr="161C42D0">
        <w:rPr>
          <w:sz w:val="24"/>
          <w:szCs w:val="24"/>
        </w:rPr>
        <w:t>for the initial period of the order (usually 12 months).</w:t>
      </w:r>
      <w:r w:rsidR="00CC2BCB" w:rsidRPr="161C42D0">
        <w:rPr>
          <w:sz w:val="24"/>
          <w:szCs w:val="24"/>
        </w:rPr>
        <w:t xml:space="preserve"> </w:t>
      </w:r>
      <w:r w:rsidR="0073682C" w:rsidRPr="161C42D0">
        <w:rPr>
          <w:sz w:val="24"/>
          <w:szCs w:val="24"/>
        </w:rPr>
        <w:t xml:space="preserve">At the end of the </w:t>
      </w:r>
      <w:r w:rsidR="0008561A" w:rsidRPr="161C42D0">
        <w:rPr>
          <w:sz w:val="24"/>
          <w:szCs w:val="24"/>
        </w:rPr>
        <w:t xml:space="preserve">initial period the qualifying debts are </w:t>
      </w:r>
      <w:r w:rsidR="005D45BC" w:rsidRPr="161C42D0">
        <w:rPr>
          <w:sz w:val="24"/>
          <w:szCs w:val="24"/>
        </w:rPr>
        <w:t xml:space="preserve">normally </w:t>
      </w:r>
      <w:r w:rsidR="0008561A" w:rsidRPr="161C42D0">
        <w:rPr>
          <w:sz w:val="24"/>
          <w:szCs w:val="24"/>
        </w:rPr>
        <w:t xml:space="preserve">discharged (written off) </w:t>
      </w:r>
      <w:r w:rsidR="000C3837" w:rsidRPr="161C42D0">
        <w:rPr>
          <w:sz w:val="24"/>
          <w:szCs w:val="24"/>
        </w:rPr>
        <w:t xml:space="preserve">and Housing 21 will no longer be able to recover the debt. </w:t>
      </w:r>
      <w:r w:rsidR="0032357E" w:rsidRPr="161C42D0">
        <w:rPr>
          <w:sz w:val="24"/>
          <w:szCs w:val="24"/>
        </w:rPr>
        <w:t xml:space="preserve">We can continue to </w:t>
      </w:r>
      <w:r w:rsidR="00121BBF" w:rsidRPr="161C42D0">
        <w:rPr>
          <w:sz w:val="24"/>
          <w:szCs w:val="24"/>
        </w:rPr>
        <w:t xml:space="preserve">charge rent and service charges </w:t>
      </w:r>
      <w:r w:rsidR="00014536" w:rsidRPr="161C42D0">
        <w:rPr>
          <w:sz w:val="24"/>
          <w:szCs w:val="24"/>
        </w:rPr>
        <w:t xml:space="preserve">and </w:t>
      </w:r>
      <w:r w:rsidR="0032357E" w:rsidRPr="161C42D0">
        <w:rPr>
          <w:sz w:val="24"/>
          <w:szCs w:val="24"/>
        </w:rPr>
        <w:t xml:space="preserve">issue rent statements throughout the initial period. </w:t>
      </w:r>
      <w:r w:rsidR="00760245" w:rsidRPr="161C42D0">
        <w:rPr>
          <w:sz w:val="24"/>
          <w:szCs w:val="24"/>
        </w:rPr>
        <w:t xml:space="preserve">We can also take recovery action for </w:t>
      </w:r>
      <w:r w:rsidR="0088266C" w:rsidRPr="161C42D0">
        <w:rPr>
          <w:sz w:val="24"/>
          <w:szCs w:val="24"/>
        </w:rPr>
        <w:t xml:space="preserve">any new </w:t>
      </w:r>
      <w:r w:rsidR="00E10305" w:rsidRPr="161C42D0">
        <w:rPr>
          <w:sz w:val="24"/>
          <w:szCs w:val="24"/>
        </w:rPr>
        <w:t>arrears,</w:t>
      </w:r>
      <w:r w:rsidR="00813C2D" w:rsidRPr="161C42D0">
        <w:rPr>
          <w:sz w:val="24"/>
          <w:szCs w:val="24"/>
        </w:rPr>
        <w:t xml:space="preserve"> </w:t>
      </w:r>
      <w:r w:rsidR="0088266C" w:rsidRPr="161C42D0">
        <w:rPr>
          <w:sz w:val="24"/>
          <w:szCs w:val="24"/>
        </w:rPr>
        <w:t>or any arrears not included as a qualifying debt</w:t>
      </w:r>
      <w:r w:rsidR="00E10305" w:rsidRPr="161C42D0">
        <w:rPr>
          <w:sz w:val="24"/>
          <w:szCs w:val="24"/>
        </w:rPr>
        <w:t xml:space="preserve"> throughout the initial period</w:t>
      </w:r>
      <w:r w:rsidR="0088266C" w:rsidRPr="161C42D0">
        <w:rPr>
          <w:sz w:val="24"/>
          <w:szCs w:val="24"/>
        </w:rPr>
        <w:t xml:space="preserve">. </w:t>
      </w:r>
      <w:r w:rsidR="00246B4B" w:rsidRPr="161C42D0">
        <w:rPr>
          <w:sz w:val="24"/>
          <w:szCs w:val="24"/>
        </w:rPr>
        <w:t>However, the existence of a DRO does not prevent Housing 21 from pursuing a possession order or the court from making one against a resident on the ground of rent arrears (or any other ground).</w:t>
      </w:r>
    </w:p>
    <w:p w14:paraId="62A9F1F5" w14:textId="5CD2D9BA" w:rsidR="001870B2" w:rsidRDefault="00A81C57" w:rsidP="00551FAD">
      <w:pPr>
        <w:rPr>
          <w:sz w:val="24"/>
          <w:szCs w:val="24"/>
        </w:rPr>
      </w:pPr>
      <w:r>
        <w:rPr>
          <w:sz w:val="24"/>
          <w:szCs w:val="24"/>
        </w:rPr>
        <w:t xml:space="preserve">The scheme manager should record details of any </w:t>
      </w:r>
      <w:r w:rsidR="00AC79F2">
        <w:rPr>
          <w:sz w:val="24"/>
          <w:szCs w:val="24"/>
        </w:rPr>
        <w:t xml:space="preserve">orders on the housing management system and ensure their </w:t>
      </w:r>
      <w:r w:rsidR="005B087B">
        <w:rPr>
          <w:sz w:val="24"/>
          <w:szCs w:val="24"/>
        </w:rPr>
        <w:t>line manager is aware</w:t>
      </w:r>
      <w:r w:rsidR="00AC79F2">
        <w:rPr>
          <w:sz w:val="24"/>
          <w:szCs w:val="24"/>
        </w:rPr>
        <w:t>.</w:t>
      </w:r>
    </w:p>
    <w:p w14:paraId="6C2750A1" w14:textId="12595784" w:rsidR="007D5757" w:rsidRDefault="007D5757" w:rsidP="007D5757">
      <w:pPr>
        <w:pStyle w:val="Heading2"/>
        <w:rPr>
          <w:rFonts w:eastAsia="Calibri"/>
        </w:rPr>
      </w:pPr>
      <w:bookmarkStart w:id="15" w:name="_Toc184985250"/>
      <w:r w:rsidRPr="007D5757">
        <w:rPr>
          <w:rFonts w:eastAsia="Calibri"/>
        </w:rPr>
        <w:t>Other Debts</w:t>
      </w:r>
      <w:bookmarkEnd w:id="15"/>
      <w:r w:rsidRPr="007D5757">
        <w:rPr>
          <w:rFonts w:eastAsia="Calibri"/>
        </w:rPr>
        <w:t xml:space="preserve"> </w:t>
      </w:r>
    </w:p>
    <w:p w14:paraId="0C40BEF6" w14:textId="77777777" w:rsidR="00114215" w:rsidRDefault="00114215" w:rsidP="00114215">
      <w:pPr>
        <w:spacing w:after="68"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This policy includes the recovery of court costs.</w:t>
      </w:r>
    </w:p>
    <w:p w14:paraId="61DAA912" w14:textId="599A2408" w:rsidR="00114215" w:rsidRPr="00C90EB9" w:rsidRDefault="00114215" w:rsidP="00114215">
      <w:pPr>
        <w:spacing w:after="68" w:line="251" w:lineRule="auto"/>
        <w:rPr>
          <w:rFonts w:cs="Calibri"/>
          <w:color w:val="000000"/>
          <w:kern w:val="2"/>
          <w:sz w:val="24"/>
          <w:szCs w:val="24"/>
          <w:lang w:eastAsia="en-GB"/>
          <w14:ligatures w14:val="standardContextual"/>
        </w:rPr>
      </w:pPr>
      <w:r>
        <w:rPr>
          <w:rFonts w:cs="Calibri"/>
          <w:color w:val="000000"/>
          <w:kern w:val="2"/>
          <w:sz w:val="24"/>
          <w:szCs w:val="24"/>
          <w:lang w:eastAsia="en-GB"/>
          <w14:ligatures w14:val="standardContextual"/>
        </w:rPr>
        <w:t xml:space="preserve">There are separate processes for the recovery of sundry debts and </w:t>
      </w:r>
      <w:r w:rsidR="00BD08AF">
        <w:rPr>
          <w:rFonts w:cs="Calibri"/>
          <w:color w:val="000000"/>
          <w:kern w:val="2"/>
          <w:sz w:val="24"/>
          <w:szCs w:val="24"/>
          <w:lang w:eastAsia="en-GB"/>
          <w14:ligatures w14:val="standardContextual"/>
        </w:rPr>
        <w:t>rechargeable</w:t>
      </w:r>
      <w:r>
        <w:rPr>
          <w:rFonts w:cs="Calibri"/>
          <w:color w:val="000000"/>
          <w:kern w:val="2"/>
          <w:sz w:val="24"/>
          <w:szCs w:val="24"/>
          <w:lang w:eastAsia="en-GB"/>
          <w14:ligatures w14:val="standardContextual"/>
        </w:rPr>
        <w:t xml:space="preserve"> repairs however they will </w:t>
      </w:r>
      <w:r w:rsidR="001F5DE9">
        <w:rPr>
          <w:rFonts w:cs="Calibri"/>
          <w:color w:val="000000"/>
          <w:kern w:val="2"/>
          <w:sz w:val="24"/>
          <w:szCs w:val="24"/>
          <w:lang w:eastAsia="en-GB"/>
          <w14:ligatures w14:val="standardContextual"/>
        </w:rPr>
        <w:t xml:space="preserve">also </w:t>
      </w:r>
      <w:r>
        <w:rPr>
          <w:rFonts w:cs="Calibri"/>
          <w:color w:val="000000"/>
          <w:kern w:val="2"/>
          <w:sz w:val="24"/>
          <w:szCs w:val="24"/>
          <w:lang w:eastAsia="en-GB"/>
          <w14:ligatures w14:val="standardContextual"/>
        </w:rPr>
        <w:t>adopt the principles of Collect with Care</w:t>
      </w:r>
      <w:r w:rsidR="009A41FD">
        <w:rPr>
          <w:rFonts w:cs="Calibri"/>
          <w:color w:val="000000"/>
          <w:kern w:val="2"/>
          <w:sz w:val="24"/>
          <w:szCs w:val="24"/>
          <w:lang w:eastAsia="en-GB"/>
          <w14:ligatures w14:val="standardContextual"/>
        </w:rPr>
        <w:t>.</w:t>
      </w:r>
      <w:r>
        <w:rPr>
          <w:rFonts w:cs="Calibri"/>
          <w:color w:val="000000"/>
          <w:kern w:val="2"/>
          <w:sz w:val="24"/>
          <w:szCs w:val="24"/>
          <w:lang w:eastAsia="en-GB"/>
          <w14:ligatures w14:val="standardContextual"/>
        </w:rPr>
        <w:t xml:space="preserve"> </w:t>
      </w:r>
    </w:p>
    <w:p w14:paraId="321B1281" w14:textId="77777777" w:rsidR="001F5DE9" w:rsidRDefault="001F5DE9" w:rsidP="002C7DCB">
      <w:pPr>
        <w:pStyle w:val="Heading2"/>
        <w:rPr>
          <w:rFonts w:eastAsia="Calibri"/>
        </w:rPr>
      </w:pPr>
    </w:p>
    <w:p w14:paraId="72F9D82B" w14:textId="41C4B330" w:rsidR="00B26782" w:rsidRPr="00B26782" w:rsidRDefault="00B26782" w:rsidP="002C7DCB">
      <w:pPr>
        <w:pStyle w:val="Heading2"/>
        <w:rPr>
          <w:rFonts w:eastAsia="Calibri"/>
        </w:rPr>
      </w:pPr>
      <w:bookmarkStart w:id="16" w:name="_Toc184985251"/>
      <w:r w:rsidRPr="00B26782">
        <w:rPr>
          <w:rFonts w:eastAsia="Calibri"/>
        </w:rPr>
        <w:t>Former Tenant Accounts</w:t>
      </w:r>
      <w:bookmarkEnd w:id="16"/>
      <w:r w:rsidRPr="00B26782">
        <w:rPr>
          <w:rFonts w:eastAsia="Calibri"/>
        </w:rPr>
        <w:t xml:space="preserve"> </w:t>
      </w:r>
    </w:p>
    <w:p w14:paraId="436C0F36" w14:textId="77777777" w:rsidR="008C6EA9" w:rsidRDefault="00766409" w:rsidP="000F32AE">
      <w:pPr>
        <w:spacing w:after="68" w:line="251" w:lineRule="auto"/>
        <w:rPr>
          <w:sz w:val="24"/>
          <w:szCs w:val="24"/>
        </w:rPr>
      </w:pPr>
      <w:r w:rsidRPr="00284C59">
        <w:rPr>
          <w:sz w:val="24"/>
          <w:szCs w:val="24"/>
        </w:rPr>
        <w:t xml:space="preserve">Prompt action will be taken to pursue </w:t>
      </w:r>
      <w:r w:rsidR="00A57525" w:rsidRPr="00284C59">
        <w:rPr>
          <w:sz w:val="24"/>
          <w:szCs w:val="24"/>
        </w:rPr>
        <w:t xml:space="preserve">former tenant arrears or </w:t>
      </w:r>
      <w:r w:rsidR="0950E6AC" w:rsidRPr="00284C59">
        <w:rPr>
          <w:sz w:val="24"/>
          <w:szCs w:val="24"/>
        </w:rPr>
        <w:t xml:space="preserve">to </w:t>
      </w:r>
      <w:r w:rsidR="00A57525" w:rsidRPr="00284C59">
        <w:rPr>
          <w:sz w:val="24"/>
          <w:szCs w:val="24"/>
        </w:rPr>
        <w:t xml:space="preserve">refund credits. </w:t>
      </w:r>
    </w:p>
    <w:p w14:paraId="2833972A" w14:textId="1220B1F9" w:rsidR="008C6EA9" w:rsidRDefault="00F66347" w:rsidP="000F32AE">
      <w:pPr>
        <w:spacing w:after="68" w:line="251" w:lineRule="auto"/>
        <w:rPr>
          <w:sz w:val="24"/>
          <w:szCs w:val="24"/>
        </w:rPr>
      </w:pPr>
      <w:r w:rsidRPr="00406AB5">
        <w:rPr>
          <w:rFonts w:eastAsia="MS Mincho" w:cs="Calibri"/>
          <w:color w:val="000000"/>
        </w:rPr>
        <w:t xml:space="preserve">Housing 21 will utilise a 3rd party debt management partner to recover </w:t>
      </w:r>
      <w:r w:rsidR="00D9148A">
        <w:rPr>
          <w:rFonts w:eastAsia="MS Mincho" w:cs="Calibri"/>
          <w:color w:val="000000"/>
        </w:rPr>
        <w:t xml:space="preserve">debts </w:t>
      </w:r>
      <w:r w:rsidR="00014AC1">
        <w:rPr>
          <w:rFonts w:eastAsia="MS Mincho" w:cs="Calibri"/>
          <w:color w:val="000000"/>
        </w:rPr>
        <w:t xml:space="preserve">where other options </w:t>
      </w:r>
      <w:r w:rsidRPr="00406AB5">
        <w:rPr>
          <w:rFonts w:eastAsia="MS Mincho" w:cs="Calibri"/>
          <w:color w:val="000000"/>
        </w:rPr>
        <w:t>have failed</w:t>
      </w:r>
      <w:r w:rsidR="00014AC1">
        <w:rPr>
          <w:rFonts w:eastAsia="MS Mincho" w:cs="Calibri"/>
          <w:color w:val="000000"/>
        </w:rPr>
        <w:t xml:space="preserve"> and it is reasonable to do so.</w:t>
      </w:r>
    </w:p>
    <w:p w14:paraId="6EC7AA32" w14:textId="3D8CC6A7" w:rsidR="000F32AE" w:rsidRPr="00284C59" w:rsidRDefault="00C04355" w:rsidP="00284C59">
      <w:pPr>
        <w:spacing w:after="68" w:line="251" w:lineRule="auto"/>
        <w:rPr>
          <w:rFonts w:asciiTheme="minorHAnsi" w:hAnsiTheme="minorHAnsi" w:cstheme="minorHAnsi"/>
          <w:sz w:val="24"/>
          <w:szCs w:val="24"/>
        </w:rPr>
      </w:pPr>
      <w:r w:rsidRPr="00284C59">
        <w:rPr>
          <w:sz w:val="24"/>
          <w:szCs w:val="24"/>
        </w:rPr>
        <w:t>Re</w:t>
      </w:r>
      <w:r w:rsidR="00AA5BDE" w:rsidRPr="00284C59">
        <w:rPr>
          <w:sz w:val="24"/>
          <w:szCs w:val="24"/>
        </w:rPr>
        <w:t xml:space="preserve">payment plans will adopt </w:t>
      </w:r>
      <w:r w:rsidR="00043AB5" w:rsidRPr="00284C59">
        <w:rPr>
          <w:sz w:val="24"/>
          <w:szCs w:val="24"/>
        </w:rPr>
        <w:t xml:space="preserve">the </w:t>
      </w:r>
      <w:r w:rsidR="00AA5BDE" w:rsidRPr="00284C59">
        <w:rPr>
          <w:sz w:val="24"/>
          <w:szCs w:val="24"/>
        </w:rPr>
        <w:t xml:space="preserve">Collect </w:t>
      </w:r>
      <w:r w:rsidR="00844180" w:rsidRPr="00284C59">
        <w:rPr>
          <w:sz w:val="24"/>
          <w:szCs w:val="24"/>
        </w:rPr>
        <w:t>with</w:t>
      </w:r>
      <w:r w:rsidR="00AA5BDE" w:rsidRPr="00284C59">
        <w:rPr>
          <w:sz w:val="24"/>
          <w:szCs w:val="24"/>
        </w:rPr>
        <w:t xml:space="preserve"> Care </w:t>
      </w:r>
      <w:r w:rsidR="00844180" w:rsidRPr="00284C59">
        <w:rPr>
          <w:sz w:val="24"/>
          <w:szCs w:val="24"/>
        </w:rPr>
        <w:t>approach</w:t>
      </w:r>
      <w:r w:rsidR="00BA4650" w:rsidRPr="00284C59">
        <w:rPr>
          <w:sz w:val="24"/>
          <w:szCs w:val="24"/>
        </w:rPr>
        <w:t xml:space="preserve"> used </w:t>
      </w:r>
      <w:r w:rsidR="006E50FE" w:rsidRPr="00284C59">
        <w:rPr>
          <w:sz w:val="24"/>
          <w:szCs w:val="24"/>
        </w:rPr>
        <w:t xml:space="preserve">for current rent arrears. </w:t>
      </w:r>
    </w:p>
    <w:p w14:paraId="36B1CD77" w14:textId="46AD92B2" w:rsidR="009D3438" w:rsidRPr="009D3438" w:rsidRDefault="009D3438" w:rsidP="009D3438">
      <w:pPr>
        <w:rPr>
          <w:sz w:val="24"/>
          <w:szCs w:val="24"/>
        </w:rPr>
      </w:pPr>
      <w:r w:rsidRPr="05F05E5F">
        <w:rPr>
          <w:sz w:val="24"/>
          <w:szCs w:val="24"/>
        </w:rPr>
        <w:t>Where it is deemed there is no possibility of recovery or refund of balances</w:t>
      </w:r>
      <w:r w:rsidR="274D5161" w:rsidRPr="05F05E5F">
        <w:rPr>
          <w:sz w:val="24"/>
          <w:szCs w:val="24"/>
        </w:rPr>
        <w:t>,</w:t>
      </w:r>
      <w:r w:rsidRPr="05F05E5F">
        <w:rPr>
          <w:sz w:val="24"/>
          <w:szCs w:val="24"/>
        </w:rPr>
        <w:t xml:space="preserve"> these balances will be written off as below</w:t>
      </w:r>
      <w:r w:rsidR="00B31650" w:rsidRPr="05F05E5F">
        <w:rPr>
          <w:sz w:val="24"/>
          <w:szCs w:val="24"/>
        </w:rPr>
        <w:t>:</w:t>
      </w:r>
    </w:p>
    <w:p w14:paraId="5E2418EF" w14:textId="62AF6DE8" w:rsidR="009D3438" w:rsidRPr="009D3438" w:rsidRDefault="009D3438" w:rsidP="009D3438">
      <w:pPr>
        <w:pStyle w:val="ListParagraph"/>
        <w:numPr>
          <w:ilvl w:val="0"/>
          <w:numId w:val="1"/>
        </w:numPr>
        <w:spacing w:after="68" w:line="251" w:lineRule="auto"/>
        <w:rPr>
          <w:rFonts w:cs="Calibri"/>
          <w:color w:val="000000"/>
          <w:kern w:val="2"/>
          <w:sz w:val="24"/>
          <w:szCs w:val="24"/>
          <w:lang w:eastAsia="en-GB"/>
          <w14:ligatures w14:val="standardContextual"/>
        </w:rPr>
      </w:pPr>
      <w:r w:rsidRPr="009D3438">
        <w:rPr>
          <w:rFonts w:cs="Calibri"/>
          <w:color w:val="000000"/>
          <w:kern w:val="2"/>
          <w:sz w:val="24"/>
          <w:szCs w:val="24"/>
          <w:lang w:eastAsia="en-GB"/>
          <w14:ligatures w14:val="standardContextual"/>
        </w:rPr>
        <w:t>Abandonment</w:t>
      </w:r>
      <w:r w:rsidR="00D72973">
        <w:rPr>
          <w:rFonts w:cs="Calibri"/>
          <w:color w:val="000000"/>
          <w:kern w:val="2"/>
          <w:sz w:val="24"/>
          <w:szCs w:val="24"/>
          <w:lang w:eastAsia="en-GB"/>
          <w14:ligatures w14:val="standardContextual"/>
        </w:rPr>
        <w:t xml:space="preserve"> (where we have been unable to trace the resident</w:t>
      </w:r>
      <w:r w:rsidR="00C42448">
        <w:rPr>
          <w:rFonts w:cs="Calibri"/>
          <w:color w:val="000000"/>
          <w:kern w:val="2"/>
          <w:sz w:val="24"/>
          <w:szCs w:val="24"/>
          <w:lang w:eastAsia="en-GB"/>
          <w14:ligatures w14:val="standardContextual"/>
        </w:rPr>
        <w:t>)</w:t>
      </w:r>
      <w:r w:rsidRPr="009D3438">
        <w:rPr>
          <w:rFonts w:cs="Calibri"/>
          <w:color w:val="000000"/>
          <w:kern w:val="2"/>
          <w:sz w:val="24"/>
          <w:szCs w:val="24"/>
          <w:lang w:eastAsia="en-GB"/>
          <w14:ligatures w14:val="standardContextual"/>
        </w:rPr>
        <w:t>.</w:t>
      </w:r>
      <w:r w:rsidR="00695F80">
        <w:rPr>
          <w:rFonts w:cs="Calibri"/>
          <w:color w:val="000000"/>
          <w:kern w:val="2"/>
          <w:sz w:val="24"/>
          <w:szCs w:val="24"/>
          <w:lang w:eastAsia="en-GB"/>
          <w14:ligatures w14:val="standardContextual"/>
        </w:rPr>
        <w:t xml:space="preserve"> </w:t>
      </w:r>
    </w:p>
    <w:p w14:paraId="29DD6656" w14:textId="3012CFA3" w:rsidR="009D3438" w:rsidRPr="009D3438" w:rsidRDefault="009D3438" w:rsidP="009D3438">
      <w:pPr>
        <w:pStyle w:val="ListParagraph"/>
        <w:numPr>
          <w:ilvl w:val="0"/>
          <w:numId w:val="1"/>
        </w:numPr>
        <w:spacing w:after="68" w:line="251" w:lineRule="auto"/>
        <w:rPr>
          <w:rFonts w:cs="Calibri"/>
          <w:color w:val="000000"/>
          <w:kern w:val="2"/>
          <w:sz w:val="24"/>
          <w:szCs w:val="24"/>
          <w:lang w:eastAsia="en-GB"/>
          <w14:ligatures w14:val="standardContextual"/>
        </w:rPr>
      </w:pPr>
      <w:r w:rsidRPr="009D3438">
        <w:rPr>
          <w:rFonts w:cs="Calibri"/>
          <w:color w:val="000000"/>
          <w:kern w:val="2"/>
          <w:sz w:val="24"/>
          <w:szCs w:val="24"/>
          <w:lang w:eastAsia="en-GB"/>
          <w14:ligatures w14:val="standardContextual"/>
        </w:rPr>
        <w:t>Eviction</w:t>
      </w:r>
      <w:r w:rsidR="00325D7D">
        <w:rPr>
          <w:rFonts w:cs="Calibri"/>
          <w:color w:val="000000"/>
          <w:kern w:val="2"/>
          <w:sz w:val="24"/>
          <w:szCs w:val="24"/>
          <w:lang w:eastAsia="en-GB"/>
          <w14:ligatures w14:val="standardContextual"/>
        </w:rPr>
        <w:t xml:space="preserve"> </w:t>
      </w:r>
      <w:r w:rsidR="00C42448">
        <w:rPr>
          <w:rFonts w:cs="Calibri"/>
          <w:color w:val="000000"/>
          <w:kern w:val="2"/>
          <w:sz w:val="24"/>
          <w:szCs w:val="24"/>
          <w:lang w:eastAsia="en-GB"/>
          <w14:ligatures w14:val="standardContextual"/>
        </w:rPr>
        <w:t>(where we have been unable to trace the resident)</w:t>
      </w:r>
      <w:r w:rsidR="00C42448" w:rsidRPr="009D3438">
        <w:rPr>
          <w:rFonts w:cs="Calibri"/>
          <w:color w:val="000000"/>
          <w:kern w:val="2"/>
          <w:sz w:val="24"/>
          <w:szCs w:val="24"/>
          <w:lang w:eastAsia="en-GB"/>
          <w14:ligatures w14:val="standardContextual"/>
        </w:rPr>
        <w:t>.</w:t>
      </w:r>
      <w:r w:rsidR="00C42448">
        <w:rPr>
          <w:rFonts w:cs="Calibri"/>
          <w:color w:val="000000"/>
          <w:kern w:val="2"/>
          <w:sz w:val="24"/>
          <w:szCs w:val="24"/>
          <w:lang w:eastAsia="en-GB"/>
          <w14:ligatures w14:val="standardContextual"/>
        </w:rPr>
        <w:t xml:space="preserve"> </w:t>
      </w:r>
    </w:p>
    <w:p w14:paraId="2DABBF18" w14:textId="77777777" w:rsidR="009D3438" w:rsidRPr="009D3438" w:rsidRDefault="009D3438" w:rsidP="009D3438">
      <w:pPr>
        <w:pStyle w:val="ListParagraph"/>
        <w:numPr>
          <w:ilvl w:val="0"/>
          <w:numId w:val="1"/>
        </w:numPr>
        <w:spacing w:after="68" w:line="251" w:lineRule="auto"/>
        <w:rPr>
          <w:rFonts w:cs="Calibri"/>
          <w:color w:val="000000"/>
          <w:kern w:val="2"/>
          <w:sz w:val="24"/>
          <w:szCs w:val="24"/>
          <w:lang w:eastAsia="en-GB"/>
          <w14:ligatures w14:val="standardContextual"/>
        </w:rPr>
      </w:pPr>
      <w:r w:rsidRPr="009D3438">
        <w:rPr>
          <w:rFonts w:cs="Calibri"/>
          <w:color w:val="000000"/>
          <w:kern w:val="2"/>
          <w:sz w:val="24"/>
          <w:szCs w:val="24"/>
          <w:lang w:eastAsia="en-GB"/>
          <w14:ligatures w14:val="standardContextual"/>
        </w:rPr>
        <w:t>None or insufficient funds left in an estate.</w:t>
      </w:r>
    </w:p>
    <w:p w14:paraId="30CECAFE" w14:textId="77777777" w:rsidR="009D3438" w:rsidRPr="009D3438" w:rsidRDefault="009D3438" w:rsidP="009D3438">
      <w:pPr>
        <w:pStyle w:val="ListParagraph"/>
        <w:numPr>
          <w:ilvl w:val="0"/>
          <w:numId w:val="1"/>
        </w:numPr>
        <w:spacing w:after="68" w:line="251" w:lineRule="auto"/>
        <w:rPr>
          <w:rFonts w:cs="Calibri"/>
          <w:color w:val="000000"/>
          <w:kern w:val="2"/>
          <w:sz w:val="24"/>
          <w:szCs w:val="24"/>
          <w:lang w:eastAsia="en-GB"/>
          <w14:ligatures w14:val="standardContextual"/>
        </w:rPr>
      </w:pPr>
      <w:r w:rsidRPr="009D3438">
        <w:rPr>
          <w:rFonts w:cs="Calibri"/>
          <w:color w:val="000000"/>
          <w:kern w:val="2"/>
          <w:sz w:val="24"/>
          <w:szCs w:val="24"/>
          <w:lang w:eastAsia="en-GB"/>
          <w14:ligatures w14:val="standardContextual"/>
        </w:rPr>
        <w:t>Two-year period since the tenancy ended where no payment plan is in place.</w:t>
      </w:r>
    </w:p>
    <w:p w14:paraId="084E52DC" w14:textId="1CDE9E83" w:rsidR="009D3438" w:rsidRPr="00A847F6" w:rsidRDefault="009D3438" w:rsidP="009D3438">
      <w:pPr>
        <w:pStyle w:val="ListParagraph"/>
        <w:numPr>
          <w:ilvl w:val="0"/>
          <w:numId w:val="1"/>
        </w:numPr>
        <w:spacing w:after="68" w:line="251" w:lineRule="auto"/>
        <w:rPr>
          <w:rFonts w:asciiTheme="minorHAnsi" w:hAnsiTheme="minorHAnsi" w:cstheme="minorHAnsi"/>
        </w:rPr>
      </w:pPr>
      <w:r w:rsidRPr="009D3438">
        <w:rPr>
          <w:rFonts w:cs="Calibri"/>
          <w:color w:val="000000"/>
          <w:kern w:val="2"/>
          <w:sz w:val="24"/>
          <w:szCs w:val="24"/>
          <w:lang w:eastAsia="en-GB"/>
          <w14:ligatures w14:val="standardContextual"/>
        </w:rPr>
        <w:t>The end of a Debt Relief Order period (usually 12 months)</w:t>
      </w:r>
      <w:r w:rsidR="00F739CA">
        <w:rPr>
          <w:rFonts w:cs="Calibri"/>
          <w:color w:val="000000"/>
          <w:kern w:val="2"/>
          <w:sz w:val="24"/>
          <w:szCs w:val="24"/>
          <w:lang w:eastAsia="en-GB"/>
          <w14:ligatures w14:val="standardContextual"/>
        </w:rPr>
        <w:t xml:space="preserve"> and</w:t>
      </w:r>
      <w:r w:rsidR="00A4197D">
        <w:rPr>
          <w:rFonts w:cs="Calibri"/>
          <w:color w:val="000000"/>
          <w:kern w:val="2"/>
          <w:sz w:val="24"/>
          <w:szCs w:val="24"/>
          <w:lang w:eastAsia="en-GB"/>
          <w14:ligatures w14:val="standardContextual"/>
        </w:rPr>
        <w:t xml:space="preserve"> </w:t>
      </w:r>
      <w:r w:rsidR="009B3000">
        <w:rPr>
          <w:rFonts w:cs="Calibri"/>
          <w:color w:val="000000"/>
          <w:kern w:val="2"/>
          <w:sz w:val="24"/>
          <w:szCs w:val="24"/>
          <w:lang w:eastAsia="en-GB"/>
          <w14:ligatures w14:val="standardContextual"/>
        </w:rPr>
        <w:t>where the debt h</w:t>
      </w:r>
      <w:r w:rsidR="00C00C30">
        <w:rPr>
          <w:rFonts w:cs="Calibri"/>
          <w:color w:val="000000"/>
          <w:kern w:val="2"/>
          <w:sz w:val="24"/>
          <w:szCs w:val="24"/>
          <w:lang w:eastAsia="en-GB"/>
          <w14:ligatures w14:val="standardContextual"/>
        </w:rPr>
        <w:t>as been refe</w:t>
      </w:r>
      <w:r w:rsidR="00482C38">
        <w:rPr>
          <w:rFonts w:cs="Calibri"/>
          <w:color w:val="000000"/>
          <w:kern w:val="2"/>
          <w:sz w:val="24"/>
          <w:szCs w:val="24"/>
          <w:lang w:eastAsia="en-GB"/>
          <w14:ligatures w14:val="standardContextual"/>
        </w:rPr>
        <w:t>re</w:t>
      </w:r>
      <w:r w:rsidR="00C00C30">
        <w:rPr>
          <w:rFonts w:cs="Calibri"/>
          <w:color w:val="000000"/>
          <w:kern w:val="2"/>
          <w:sz w:val="24"/>
          <w:szCs w:val="24"/>
          <w:lang w:eastAsia="en-GB"/>
          <w14:ligatures w14:val="standardContextual"/>
        </w:rPr>
        <w:t>nced in the order</w:t>
      </w:r>
      <w:r w:rsidRPr="00A847F6">
        <w:rPr>
          <w:rFonts w:asciiTheme="minorHAnsi" w:hAnsiTheme="minorHAnsi" w:cstheme="minorHAnsi"/>
        </w:rPr>
        <w:t xml:space="preserve"> </w:t>
      </w:r>
      <w:hyperlink w:history="1">
        <w:r w:rsidRPr="00F61F70">
          <w:rPr>
            <w:rStyle w:val="Hyperlink"/>
            <w:rFonts w:asciiTheme="minorHAnsi" w:hAnsiTheme="minorHAnsi" w:cstheme="minorHAnsi"/>
          </w:rPr>
          <w:t>Debt Relief  Orders - GOV.UK (www.gov.uk)</w:t>
        </w:r>
      </w:hyperlink>
      <w:r w:rsidRPr="00A847F6">
        <w:rPr>
          <w:rStyle w:val="Hyperlink"/>
          <w:rFonts w:asciiTheme="minorHAnsi" w:hAnsiTheme="minorHAnsi" w:cstheme="minorHAnsi"/>
        </w:rPr>
        <w:t>.</w:t>
      </w:r>
    </w:p>
    <w:p w14:paraId="3FCD7A91" w14:textId="77777777" w:rsidR="009D3438" w:rsidRPr="001D2D1D" w:rsidRDefault="009D3438" w:rsidP="009D3438">
      <w:pPr>
        <w:pStyle w:val="ListParagraph"/>
        <w:numPr>
          <w:ilvl w:val="0"/>
          <w:numId w:val="1"/>
        </w:numPr>
        <w:spacing w:after="68" w:line="251" w:lineRule="auto"/>
        <w:rPr>
          <w:rFonts w:cs="Calibri"/>
          <w:color w:val="000000"/>
          <w:kern w:val="2"/>
          <w:sz w:val="24"/>
          <w:szCs w:val="24"/>
          <w:lang w:eastAsia="en-GB"/>
          <w14:ligatures w14:val="standardContextual"/>
        </w:rPr>
      </w:pPr>
      <w:r w:rsidRPr="001D2D1D">
        <w:rPr>
          <w:rFonts w:cs="Calibri"/>
          <w:color w:val="000000"/>
          <w:kern w:val="2"/>
          <w:sz w:val="24"/>
          <w:szCs w:val="24"/>
          <w:lang w:eastAsia="en-GB"/>
          <w14:ligatures w14:val="standardContextual"/>
        </w:rPr>
        <w:t>Balances less than £100 at the date the tenancy ends and moves to former status.</w:t>
      </w:r>
    </w:p>
    <w:p w14:paraId="48E3F2CE" w14:textId="77777777" w:rsidR="009D3438" w:rsidRPr="00A847F6" w:rsidRDefault="009D3438" w:rsidP="009D3438">
      <w:pPr>
        <w:pStyle w:val="ListParagraph"/>
        <w:numPr>
          <w:ilvl w:val="0"/>
          <w:numId w:val="1"/>
        </w:numPr>
        <w:spacing w:after="68" w:line="251" w:lineRule="auto"/>
        <w:rPr>
          <w:rFonts w:asciiTheme="minorHAnsi" w:hAnsiTheme="minorHAnsi" w:cstheme="minorHAnsi"/>
        </w:rPr>
      </w:pPr>
      <w:r w:rsidRPr="009D3438">
        <w:rPr>
          <w:rFonts w:cs="Calibri"/>
          <w:color w:val="000000"/>
          <w:kern w:val="2"/>
          <w:sz w:val="24"/>
          <w:szCs w:val="24"/>
          <w:lang w:eastAsia="en-GB"/>
          <w14:ligatures w14:val="standardContextual"/>
        </w:rPr>
        <w:t xml:space="preserve">Debt or </w:t>
      </w:r>
      <w:r w:rsidRPr="001D2D1D">
        <w:rPr>
          <w:rFonts w:cs="Calibri"/>
          <w:color w:val="000000"/>
          <w:kern w:val="2"/>
          <w:sz w:val="24"/>
          <w:szCs w:val="24"/>
          <w:lang w:eastAsia="en-GB"/>
          <w14:ligatures w14:val="standardContextual"/>
        </w:rPr>
        <w:t>credit</w:t>
      </w:r>
      <w:r w:rsidRPr="001D2D1D">
        <w:rPr>
          <w:rFonts w:asciiTheme="minorHAnsi" w:hAnsiTheme="minorHAnsi" w:cstheme="minorHAnsi"/>
          <w:sz w:val="24"/>
          <w:szCs w:val="24"/>
        </w:rPr>
        <w:t xml:space="preserve"> balances deemed irrecoverable or refundable.</w:t>
      </w:r>
    </w:p>
    <w:p w14:paraId="46C518B8" w14:textId="77777777" w:rsidR="0069549B" w:rsidRDefault="0069549B" w:rsidP="002C7DCB">
      <w:pPr>
        <w:pStyle w:val="Heading2"/>
        <w:rPr>
          <w:rFonts w:eastAsia="Calibri"/>
        </w:rPr>
      </w:pPr>
      <w:bookmarkStart w:id="17" w:name="_Toc125120249"/>
      <w:bookmarkStart w:id="18" w:name="_Toc125120247"/>
    </w:p>
    <w:p w14:paraId="0B283DE9" w14:textId="4FEA4E44" w:rsidR="009E05FE" w:rsidRPr="009E05FE" w:rsidRDefault="009E05FE" w:rsidP="002C7DCB">
      <w:pPr>
        <w:pStyle w:val="Heading2"/>
        <w:rPr>
          <w:rFonts w:eastAsia="Calibri"/>
        </w:rPr>
      </w:pPr>
      <w:bookmarkStart w:id="19" w:name="_Toc184985252"/>
      <w:r w:rsidRPr="05F05E5F">
        <w:rPr>
          <w:rFonts w:eastAsia="Calibri"/>
        </w:rPr>
        <w:t>Timing and Approval of Write</w:t>
      </w:r>
      <w:r w:rsidR="2877B885" w:rsidRPr="05F05E5F">
        <w:rPr>
          <w:rFonts w:eastAsia="Calibri"/>
        </w:rPr>
        <w:t>-</w:t>
      </w:r>
      <w:r w:rsidRPr="05F05E5F">
        <w:rPr>
          <w:rFonts w:eastAsia="Calibri"/>
        </w:rPr>
        <w:t>Off</w:t>
      </w:r>
      <w:bookmarkEnd w:id="17"/>
      <w:r w:rsidR="002F1F9D" w:rsidRPr="05F05E5F">
        <w:rPr>
          <w:rFonts w:eastAsia="Calibri"/>
        </w:rPr>
        <w:t xml:space="preserve"> of Former Tenant Accounts</w:t>
      </w:r>
      <w:bookmarkEnd w:id="19"/>
      <w:r w:rsidR="002F1F9D" w:rsidRPr="05F05E5F">
        <w:rPr>
          <w:rFonts w:eastAsia="Calibri"/>
        </w:rPr>
        <w:t xml:space="preserve"> </w:t>
      </w:r>
    </w:p>
    <w:p w14:paraId="07F41C1E" w14:textId="766E983E" w:rsidR="009E05FE" w:rsidRPr="00F86544" w:rsidRDefault="009E05FE" w:rsidP="00F86544">
      <w:pPr>
        <w:spacing w:after="68" w:line="251" w:lineRule="auto"/>
        <w:rPr>
          <w:rFonts w:cs="Calibri"/>
          <w:color w:val="000000"/>
          <w:kern w:val="2"/>
          <w:sz w:val="24"/>
          <w:szCs w:val="24"/>
          <w:lang w:eastAsia="en-GB"/>
          <w14:ligatures w14:val="standardContextual"/>
        </w:rPr>
      </w:pPr>
      <w:r w:rsidRPr="00F86544">
        <w:rPr>
          <w:rFonts w:cs="Calibri"/>
          <w:color w:val="000000"/>
          <w:kern w:val="2"/>
          <w:sz w:val="24"/>
          <w:szCs w:val="24"/>
          <w:lang w:eastAsia="en-GB"/>
          <w14:ligatures w14:val="standardContextual"/>
        </w:rPr>
        <w:t xml:space="preserve">The Income Administration </w:t>
      </w:r>
      <w:r w:rsidR="426BDB5E" w:rsidRPr="00F86544">
        <w:rPr>
          <w:rFonts w:cs="Calibri"/>
          <w:color w:val="000000"/>
          <w:kern w:val="2"/>
          <w:sz w:val="24"/>
          <w:szCs w:val="24"/>
          <w:lang w:eastAsia="en-GB"/>
          <w14:ligatures w14:val="standardContextual"/>
        </w:rPr>
        <w:t>T</w:t>
      </w:r>
      <w:r w:rsidRPr="00F86544">
        <w:rPr>
          <w:rFonts w:cs="Calibri"/>
          <w:color w:val="000000"/>
          <w:kern w:val="2"/>
          <w:sz w:val="24"/>
          <w:szCs w:val="24"/>
          <w:lang w:eastAsia="en-GB"/>
          <w14:ligatures w14:val="standardContextual"/>
        </w:rPr>
        <w:t>eam will collate a quarterly submission of cases for write</w:t>
      </w:r>
      <w:r w:rsidR="17B900C8" w:rsidRPr="00F86544">
        <w:rPr>
          <w:rFonts w:cs="Calibri"/>
          <w:color w:val="000000"/>
          <w:kern w:val="2"/>
          <w:sz w:val="24"/>
          <w:szCs w:val="24"/>
          <w:lang w:eastAsia="en-GB"/>
          <w14:ligatures w14:val="standardContextual"/>
        </w:rPr>
        <w:t>-</w:t>
      </w:r>
      <w:r w:rsidRPr="00F86544">
        <w:rPr>
          <w:rFonts w:cs="Calibri"/>
          <w:color w:val="000000"/>
          <w:kern w:val="2"/>
          <w:sz w:val="24"/>
          <w:szCs w:val="24"/>
          <w:lang w:eastAsia="en-GB"/>
          <w14:ligatures w14:val="standardContextual"/>
        </w:rPr>
        <w:t xml:space="preserve">off. Each case will have undergone </w:t>
      </w:r>
      <w:r w:rsidR="00974593">
        <w:rPr>
          <w:rFonts w:cs="Calibri"/>
          <w:color w:val="000000"/>
          <w:kern w:val="2"/>
          <w:sz w:val="24"/>
          <w:szCs w:val="24"/>
          <w:lang w:eastAsia="en-GB"/>
          <w14:ligatures w14:val="standardContextual"/>
        </w:rPr>
        <w:t>review</w:t>
      </w:r>
      <w:r w:rsidR="00974593" w:rsidRPr="00F86544">
        <w:rPr>
          <w:rFonts w:cs="Calibri"/>
          <w:color w:val="000000"/>
          <w:kern w:val="2"/>
          <w:sz w:val="24"/>
          <w:szCs w:val="24"/>
          <w:lang w:eastAsia="en-GB"/>
          <w14:ligatures w14:val="standardContextual"/>
        </w:rPr>
        <w:t xml:space="preserve"> </w:t>
      </w:r>
      <w:r w:rsidRPr="00F86544">
        <w:rPr>
          <w:rFonts w:cs="Calibri"/>
          <w:color w:val="000000"/>
          <w:kern w:val="2"/>
          <w:sz w:val="24"/>
          <w:szCs w:val="24"/>
          <w:lang w:eastAsia="en-GB"/>
          <w14:ligatures w14:val="standardContextual"/>
        </w:rPr>
        <w:t>to ensure that write off is the most appropriate way forward and within the agreed tolerances.</w:t>
      </w:r>
    </w:p>
    <w:p w14:paraId="0D787286" w14:textId="68F535B7" w:rsidR="161C42D0" w:rsidRPr="005E4D18" w:rsidRDefault="161C42D0" w:rsidP="005108BB">
      <w:pPr>
        <w:pStyle w:val="NoSpacing"/>
      </w:pPr>
    </w:p>
    <w:p w14:paraId="41EA0A59" w14:textId="61EB19CF" w:rsidR="00471521" w:rsidRDefault="009E05FE" w:rsidP="00471521">
      <w:pPr>
        <w:spacing w:after="68" w:line="251" w:lineRule="auto"/>
        <w:rPr>
          <w:rFonts w:cs="Calibri"/>
          <w:color w:val="000000" w:themeColor="text1"/>
          <w:sz w:val="24"/>
          <w:szCs w:val="24"/>
          <w:lang w:eastAsia="en-GB"/>
        </w:rPr>
      </w:pPr>
      <w:r w:rsidRPr="00F86544">
        <w:rPr>
          <w:rFonts w:cs="Calibri"/>
          <w:color w:val="000000"/>
          <w:kern w:val="2"/>
          <w:sz w:val="24"/>
          <w:szCs w:val="24"/>
          <w:lang w:eastAsia="en-GB"/>
          <w14:ligatures w14:val="standardContextual"/>
        </w:rPr>
        <w:t>Approvals of the write</w:t>
      </w:r>
      <w:r w:rsidR="78256016" w:rsidRPr="00F86544">
        <w:rPr>
          <w:rFonts w:cs="Calibri"/>
          <w:color w:val="000000"/>
          <w:kern w:val="2"/>
          <w:sz w:val="24"/>
          <w:szCs w:val="24"/>
          <w:lang w:eastAsia="en-GB"/>
          <w14:ligatures w14:val="standardContextual"/>
        </w:rPr>
        <w:t>-</w:t>
      </w:r>
      <w:r w:rsidRPr="00F86544">
        <w:rPr>
          <w:rFonts w:cs="Calibri"/>
          <w:color w:val="000000"/>
          <w:kern w:val="2"/>
          <w:sz w:val="24"/>
          <w:szCs w:val="24"/>
          <w:lang w:eastAsia="en-GB"/>
          <w14:ligatures w14:val="standardContextual"/>
        </w:rPr>
        <w:t>offs will be in accordance</w:t>
      </w:r>
      <w:r w:rsidR="00752B56" w:rsidRPr="05F05E5F">
        <w:rPr>
          <w:rFonts w:asciiTheme="minorHAnsi" w:hAnsiTheme="minorHAnsi" w:cstheme="minorBidi"/>
          <w:color w:val="000000" w:themeColor="text1"/>
          <w:lang w:eastAsia="en-GB"/>
        </w:rPr>
        <w:t xml:space="preserve"> with the </w:t>
      </w:r>
      <w:r w:rsidR="007700DD" w:rsidRPr="05F05E5F">
        <w:rPr>
          <w:rFonts w:cs="Calibri"/>
          <w:color w:val="000000" w:themeColor="text1"/>
          <w:sz w:val="24"/>
          <w:szCs w:val="24"/>
          <w:lang w:eastAsia="en-GB"/>
        </w:rPr>
        <w:t>Financial Delegated Authority policy.</w:t>
      </w:r>
    </w:p>
    <w:p w14:paraId="70593B7D" w14:textId="77777777" w:rsidR="007700DD" w:rsidRPr="005E4D18" w:rsidRDefault="007700DD" w:rsidP="005108BB">
      <w:pPr>
        <w:pStyle w:val="NoSpacing"/>
      </w:pPr>
    </w:p>
    <w:p w14:paraId="46C7EB52" w14:textId="77777777" w:rsidR="00471521" w:rsidRPr="00471521" w:rsidRDefault="00471521" w:rsidP="002C7DCB">
      <w:pPr>
        <w:pStyle w:val="Heading2"/>
        <w:rPr>
          <w:rFonts w:eastAsia="Calibri"/>
        </w:rPr>
      </w:pPr>
      <w:bookmarkStart w:id="20" w:name="_Toc125120250"/>
      <w:bookmarkStart w:id="21" w:name="_Toc184985253"/>
      <w:r w:rsidRPr="00471521">
        <w:rPr>
          <w:rFonts w:eastAsia="Calibri"/>
        </w:rPr>
        <w:t>Debts Written Off and Subsequently Paid or Reclaimed</w:t>
      </w:r>
      <w:bookmarkEnd w:id="20"/>
      <w:bookmarkEnd w:id="21"/>
    </w:p>
    <w:p w14:paraId="2C824819" w14:textId="586B96A4" w:rsidR="00471521" w:rsidRPr="00F86544" w:rsidRDefault="00471521" w:rsidP="00F86544">
      <w:pPr>
        <w:spacing w:after="68" w:line="251" w:lineRule="auto"/>
        <w:rPr>
          <w:rFonts w:cs="Calibri"/>
          <w:color w:val="000000"/>
          <w:kern w:val="2"/>
          <w:sz w:val="24"/>
          <w:szCs w:val="24"/>
          <w:lang w:eastAsia="en-GB"/>
          <w14:ligatures w14:val="standardContextual"/>
        </w:rPr>
      </w:pPr>
      <w:r w:rsidRPr="00F86544">
        <w:rPr>
          <w:rFonts w:cs="Calibri"/>
          <w:color w:val="000000"/>
          <w:kern w:val="2"/>
          <w:sz w:val="24"/>
          <w:szCs w:val="24"/>
          <w:lang w:eastAsia="en-GB"/>
          <w14:ligatures w14:val="standardContextual"/>
        </w:rPr>
        <w:t xml:space="preserve">In the event that a debt which has been written off is then paid, the debt will be written back on to </w:t>
      </w:r>
      <w:r w:rsidR="00CA0B52">
        <w:rPr>
          <w:rFonts w:cs="Calibri"/>
          <w:color w:val="000000"/>
          <w:kern w:val="2"/>
          <w:sz w:val="24"/>
          <w:szCs w:val="24"/>
          <w:lang w:eastAsia="en-GB"/>
          <w14:ligatures w14:val="standardContextual"/>
        </w:rPr>
        <w:t xml:space="preserve">the account to </w:t>
      </w:r>
      <w:r w:rsidRPr="00F86544">
        <w:rPr>
          <w:rFonts w:cs="Calibri"/>
          <w:color w:val="000000"/>
          <w:kern w:val="2"/>
          <w:sz w:val="24"/>
          <w:szCs w:val="24"/>
          <w:lang w:eastAsia="en-GB"/>
          <w14:ligatures w14:val="standardContextual"/>
        </w:rPr>
        <w:t>offset the payment made.</w:t>
      </w:r>
    </w:p>
    <w:p w14:paraId="2939FC1F" w14:textId="77777777" w:rsidR="006026C8" w:rsidRPr="005E4D18" w:rsidRDefault="006026C8" w:rsidP="005108BB">
      <w:pPr>
        <w:pStyle w:val="NoSpacing"/>
      </w:pPr>
    </w:p>
    <w:p w14:paraId="62C3685D" w14:textId="7FF63335" w:rsidR="00B26782" w:rsidRPr="00B26782" w:rsidRDefault="00B26782" w:rsidP="00260693">
      <w:pPr>
        <w:pStyle w:val="Heading2"/>
        <w:rPr>
          <w:rFonts w:eastAsia="Calibri"/>
        </w:rPr>
      </w:pPr>
      <w:bookmarkStart w:id="22" w:name="_Toc184985254"/>
      <w:bookmarkEnd w:id="18"/>
      <w:r w:rsidRPr="00B26782">
        <w:rPr>
          <w:rFonts w:eastAsia="Calibri"/>
        </w:rPr>
        <w:t xml:space="preserve">Bad </w:t>
      </w:r>
      <w:r w:rsidR="00260693">
        <w:rPr>
          <w:rFonts w:eastAsia="Calibri"/>
        </w:rPr>
        <w:t>D</w:t>
      </w:r>
      <w:r w:rsidRPr="00B26782">
        <w:rPr>
          <w:rFonts w:eastAsia="Calibri"/>
        </w:rPr>
        <w:t xml:space="preserve">ebt </w:t>
      </w:r>
      <w:r w:rsidR="00260693">
        <w:rPr>
          <w:rFonts w:eastAsia="Calibri"/>
        </w:rPr>
        <w:t>P</w:t>
      </w:r>
      <w:r w:rsidRPr="00B26782">
        <w:rPr>
          <w:rFonts w:eastAsia="Calibri"/>
        </w:rPr>
        <w:t>rovision</w:t>
      </w:r>
      <w:bookmarkEnd w:id="22"/>
    </w:p>
    <w:p w14:paraId="576B7BF5" w14:textId="75726EFE" w:rsidR="00B26782" w:rsidRPr="00B26782" w:rsidRDefault="00B26782" w:rsidP="00B26782">
      <w:pPr>
        <w:rPr>
          <w:sz w:val="24"/>
          <w:szCs w:val="24"/>
        </w:rPr>
      </w:pPr>
      <w:r w:rsidRPr="05F05E5F">
        <w:rPr>
          <w:sz w:val="24"/>
          <w:szCs w:val="24"/>
        </w:rPr>
        <w:t xml:space="preserve">Housing 21 makes a provision for arrears relating to former debtors, this is currently 100% of the former </w:t>
      </w:r>
      <w:r w:rsidR="401F9801" w:rsidRPr="05F05E5F">
        <w:rPr>
          <w:sz w:val="24"/>
          <w:szCs w:val="24"/>
        </w:rPr>
        <w:t>debtors’</w:t>
      </w:r>
      <w:r w:rsidRPr="05F05E5F">
        <w:rPr>
          <w:sz w:val="24"/>
          <w:szCs w:val="24"/>
        </w:rPr>
        <w:t xml:space="preserve"> balances, with any provision being charged to the relevant business division. Write</w:t>
      </w:r>
      <w:r w:rsidR="39005842" w:rsidRPr="05F05E5F">
        <w:rPr>
          <w:sz w:val="24"/>
          <w:szCs w:val="24"/>
        </w:rPr>
        <w:t>-</w:t>
      </w:r>
      <w:r w:rsidRPr="05F05E5F">
        <w:rPr>
          <w:sz w:val="24"/>
          <w:szCs w:val="24"/>
        </w:rPr>
        <w:t xml:space="preserve">offs are made against this provision. </w:t>
      </w:r>
    </w:p>
    <w:p w14:paraId="709FF038" w14:textId="250776A8" w:rsidR="005A0434" w:rsidRPr="00103D0B" w:rsidRDefault="00103D0B" w:rsidP="00260693">
      <w:pPr>
        <w:pStyle w:val="Heading2"/>
        <w:rPr>
          <w:rFonts w:eastAsia="Calibri"/>
        </w:rPr>
      </w:pPr>
      <w:bookmarkStart w:id="23" w:name="_Toc184985255"/>
      <w:r w:rsidRPr="00103D0B">
        <w:rPr>
          <w:rFonts w:eastAsia="Calibri"/>
        </w:rPr>
        <w:t>Shared Ownership</w:t>
      </w:r>
      <w:bookmarkEnd w:id="23"/>
      <w:r w:rsidRPr="00103D0B">
        <w:rPr>
          <w:rFonts w:eastAsia="Calibri"/>
        </w:rPr>
        <w:t xml:space="preserve"> </w:t>
      </w:r>
    </w:p>
    <w:p w14:paraId="2E496A37" w14:textId="7AB924CA" w:rsidR="005A0434" w:rsidRDefault="00950B71" w:rsidP="000262A6">
      <w:pPr>
        <w:rPr>
          <w:sz w:val="24"/>
          <w:szCs w:val="24"/>
        </w:rPr>
      </w:pPr>
      <w:r w:rsidRPr="161C42D0">
        <w:rPr>
          <w:sz w:val="24"/>
          <w:szCs w:val="24"/>
        </w:rPr>
        <w:t>Th</w:t>
      </w:r>
      <w:r w:rsidR="009F57AB" w:rsidRPr="161C42D0">
        <w:rPr>
          <w:sz w:val="24"/>
          <w:szCs w:val="24"/>
        </w:rPr>
        <w:t xml:space="preserve">is </w:t>
      </w:r>
      <w:r w:rsidRPr="161C42D0">
        <w:rPr>
          <w:sz w:val="24"/>
          <w:szCs w:val="24"/>
        </w:rPr>
        <w:t>policy</w:t>
      </w:r>
      <w:r w:rsidR="009D4274" w:rsidRPr="161C42D0">
        <w:rPr>
          <w:sz w:val="24"/>
          <w:szCs w:val="24"/>
        </w:rPr>
        <w:t xml:space="preserve"> applies to </w:t>
      </w:r>
      <w:r w:rsidR="608A715C" w:rsidRPr="161C42D0">
        <w:rPr>
          <w:sz w:val="24"/>
          <w:szCs w:val="24"/>
        </w:rPr>
        <w:t>s</w:t>
      </w:r>
      <w:r w:rsidR="009D4274" w:rsidRPr="161C42D0">
        <w:rPr>
          <w:sz w:val="24"/>
          <w:szCs w:val="24"/>
        </w:rPr>
        <w:t xml:space="preserve">hared </w:t>
      </w:r>
      <w:r w:rsidR="2CCD5422" w:rsidRPr="161C42D0">
        <w:rPr>
          <w:sz w:val="24"/>
          <w:szCs w:val="24"/>
        </w:rPr>
        <w:t>o</w:t>
      </w:r>
      <w:r w:rsidR="009D4274" w:rsidRPr="161C42D0">
        <w:rPr>
          <w:sz w:val="24"/>
          <w:szCs w:val="24"/>
        </w:rPr>
        <w:t>wners</w:t>
      </w:r>
      <w:r w:rsidR="779240FF" w:rsidRPr="161C42D0">
        <w:rPr>
          <w:sz w:val="24"/>
          <w:szCs w:val="24"/>
        </w:rPr>
        <w:t>,</w:t>
      </w:r>
      <w:r w:rsidR="009D4274" w:rsidRPr="161C42D0">
        <w:rPr>
          <w:sz w:val="24"/>
          <w:szCs w:val="24"/>
        </w:rPr>
        <w:t xml:space="preserve"> </w:t>
      </w:r>
      <w:r w:rsidR="009F57AB" w:rsidRPr="161C42D0">
        <w:rPr>
          <w:sz w:val="24"/>
          <w:szCs w:val="24"/>
        </w:rPr>
        <w:t xml:space="preserve">however </w:t>
      </w:r>
      <w:r w:rsidR="00103C64" w:rsidRPr="161C42D0">
        <w:rPr>
          <w:sz w:val="24"/>
          <w:szCs w:val="24"/>
        </w:rPr>
        <w:t>there are different stages in the process according to tenure type</w:t>
      </w:r>
      <w:r w:rsidR="00006124" w:rsidRPr="161C42D0">
        <w:rPr>
          <w:sz w:val="24"/>
          <w:szCs w:val="24"/>
        </w:rPr>
        <w:t xml:space="preserve"> and </w:t>
      </w:r>
      <w:r w:rsidR="000B05A5" w:rsidRPr="161C42D0">
        <w:rPr>
          <w:sz w:val="24"/>
          <w:szCs w:val="24"/>
        </w:rPr>
        <w:t>specific details in each lease agreement</w:t>
      </w:r>
      <w:r w:rsidR="00103C64" w:rsidRPr="161C42D0">
        <w:rPr>
          <w:sz w:val="24"/>
          <w:szCs w:val="24"/>
        </w:rPr>
        <w:t xml:space="preserve">. </w:t>
      </w:r>
      <w:r w:rsidR="00833F24" w:rsidRPr="161C42D0">
        <w:rPr>
          <w:sz w:val="24"/>
          <w:szCs w:val="24"/>
        </w:rPr>
        <w:t xml:space="preserve">It should </w:t>
      </w:r>
      <w:r w:rsidR="00A354C9" w:rsidRPr="161C42D0">
        <w:rPr>
          <w:sz w:val="24"/>
          <w:szCs w:val="24"/>
        </w:rPr>
        <w:t>be n</w:t>
      </w:r>
      <w:r w:rsidR="00320283" w:rsidRPr="161C42D0">
        <w:rPr>
          <w:sz w:val="24"/>
          <w:szCs w:val="24"/>
        </w:rPr>
        <w:t>ote</w:t>
      </w:r>
      <w:r w:rsidR="00A354C9" w:rsidRPr="161C42D0">
        <w:rPr>
          <w:sz w:val="24"/>
          <w:szCs w:val="24"/>
        </w:rPr>
        <w:t>d</w:t>
      </w:r>
      <w:r w:rsidR="00320283" w:rsidRPr="161C42D0">
        <w:rPr>
          <w:sz w:val="24"/>
          <w:szCs w:val="24"/>
        </w:rPr>
        <w:t xml:space="preserve"> that any shared ownership arrears </w:t>
      </w:r>
      <w:r w:rsidR="00B63652" w:rsidRPr="161C42D0">
        <w:rPr>
          <w:sz w:val="24"/>
          <w:szCs w:val="24"/>
        </w:rPr>
        <w:t>will always be recovered as part of the resales process</w:t>
      </w:r>
      <w:r w:rsidR="009B18E3" w:rsidRPr="161C42D0">
        <w:rPr>
          <w:sz w:val="24"/>
          <w:szCs w:val="24"/>
        </w:rPr>
        <w:t xml:space="preserve"> </w:t>
      </w:r>
      <w:r w:rsidR="00A354C9" w:rsidRPr="161C42D0">
        <w:rPr>
          <w:sz w:val="24"/>
          <w:szCs w:val="24"/>
        </w:rPr>
        <w:t xml:space="preserve">meaning </w:t>
      </w:r>
      <w:r w:rsidR="009E569B" w:rsidRPr="161C42D0">
        <w:rPr>
          <w:sz w:val="24"/>
          <w:szCs w:val="24"/>
        </w:rPr>
        <w:t>there should be no former tenant arrears.</w:t>
      </w:r>
    </w:p>
    <w:p w14:paraId="6139D4E3" w14:textId="5DAA7EBB" w:rsidR="00300F63" w:rsidRDefault="001E233C" w:rsidP="000262A6">
      <w:pPr>
        <w:rPr>
          <w:sz w:val="24"/>
          <w:szCs w:val="24"/>
        </w:rPr>
      </w:pPr>
      <w:r w:rsidRPr="161C42D0">
        <w:rPr>
          <w:sz w:val="24"/>
          <w:szCs w:val="24"/>
        </w:rPr>
        <w:t xml:space="preserve">Consideration will be given to the deferment of </w:t>
      </w:r>
      <w:r w:rsidR="00E70E68" w:rsidRPr="161C42D0">
        <w:rPr>
          <w:sz w:val="24"/>
          <w:szCs w:val="24"/>
        </w:rPr>
        <w:t xml:space="preserve">any </w:t>
      </w:r>
      <w:r w:rsidR="00F52B8F" w:rsidRPr="161C42D0">
        <w:rPr>
          <w:sz w:val="24"/>
          <w:szCs w:val="24"/>
        </w:rPr>
        <w:t xml:space="preserve">charges on properties that are up for resale following the death of the resident. </w:t>
      </w:r>
      <w:r w:rsidR="007F2450" w:rsidRPr="161C42D0">
        <w:rPr>
          <w:sz w:val="24"/>
          <w:szCs w:val="24"/>
        </w:rPr>
        <w:t xml:space="preserve">The outstanding monies </w:t>
      </w:r>
      <w:r w:rsidR="03F7C487" w:rsidRPr="161C42D0">
        <w:rPr>
          <w:sz w:val="24"/>
          <w:szCs w:val="24"/>
        </w:rPr>
        <w:t xml:space="preserve">are then </w:t>
      </w:r>
      <w:r w:rsidR="007F2450" w:rsidRPr="161C42D0">
        <w:rPr>
          <w:sz w:val="24"/>
          <w:szCs w:val="24"/>
        </w:rPr>
        <w:t>collected a</w:t>
      </w:r>
      <w:r w:rsidR="009070A9" w:rsidRPr="161C42D0">
        <w:rPr>
          <w:sz w:val="24"/>
          <w:szCs w:val="24"/>
        </w:rPr>
        <w:t xml:space="preserve">s proceeds of the sale. </w:t>
      </w:r>
      <w:r w:rsidR="00300F63" w:rsidRPr="161C42D0">
        <w:rPr>
          <w:sz w:val="24"/>
          <w:szCs w:val="24"/>
        </w:rPr>
        <w:t xml:space="preserve"> </w:t>
      </w:r>
    </w:p>
    <w:p w14:paraId="55F64E8D" w14:textId="77777777" w:rsidR="00B02E2C" w:rsidRDefault="002A1AB8" w:rsidP="00260693">
      <w:pPr>
        <w:pStyle w:val="Heading1"/>
      </w:pPr>
      <w:bookmarkStart w:id="24" w:name="_Toc184985256"/>
      <w:r>
        <w:t xml:space="preserve">Review of </w:t>
      </w:r>
      <w:r w:rsidR="00C462F0">
        <w:t>Decisions</w:t>
      </w:r>
      <w:bookmarkEnd w:id="24"/>
      <w:r w:rsidR="00C462F0">
        <w:t xml:space="preserve"> </w:t>
      </w:r>
    </w:p>
    <w:p w14:paraId="6B7AA844" w14:textId="2D94164D" w:rsidR="00B02E2C" w:rsidRPr="00263C21" w:rsidRDefault="00B02E2C" w:rsidP="161C42D0">
      <w:pPr>
        <w:textAlignment w:val="baseline"/>
        <w:rPr>
          <w:rFonts w:eastAsiaTheme="minorEastAsia"/>
          <w:sz w:val="24"/>
          <w:szCs w:val="24"/>
        </w:rPr>
      </w:pPr>
      <w:r w:rsidRPr="161C42D0">
        <w:rPr>
          <w:sz w:val="24"/>
          <w:szCs w:val="24"/>
          <w:lang w:eastAsia="en-GB"/>
        </w:rPr>
        <w:t xml:space="preserve">Should a resident disagree with any decision within this policy they can appeal to the </w:t>
      </w:r>
      <w:r w:rsidR="001B10C7">
        <w:rPr>
          <w:sz w:val="24"/>
          <w:szCs w:val="24"/>
          <w:lang w:eastAsia="en-GB"/>
        </w:rPr>
        <w:t>h</w:t>
      </w:r>
      <w:r w:rsidRPr="161C42D0">
        <w:rPr>
          <w:sz w:val="24"/>
          <w:szCs w:val="24"/>
          <w:lang w:eastAsia="en-GB"/>
        </w:rPr>
        <w:t xml:space="preserve">ead of </w:t>
      </w:r>
      <w:r w:rsidR="001B10C7">
        <w:rPr>
          <w:sz w:val="24"/>
          <w:szCs w:val="24"/>
          <w:lang w:eastAsia="en-GB"/>
        </w:rPr>
        <w:t>s</w:t>
      </w:r>
      <w:r w:rsidRPr="161C42D0">
        <w:rPr>
          <w:sz w:val="24"/>
          <w:szCs w:val="24"/>
          <w:lang w:eastAsia="en-GB"/>
        </w:rPr>
        <w:t xml:space="preserve">ervice who will carry out a formal review. </w:t>
      </w:r>
      <w:r w:rsidRPr="161C42D0">
        <w:rPr>
          <w:sz w:val="24"/>
          <w:szCs w:val="24"/>
        </w:rPr>
        <w:t>The appeal will consider</w:t>
      </w:r>
      <w:r w:rsidR="2F571060" w:rsidRPr="161C42D0">
        <w:rPr>
          <w:sz w:val="24"/>
          <w:szCs w:val="24"/>
        </w:rPr>
        <w:t>:</w:t>
      </w:r>
    </w:p>
    <w:p w14:paraId="2AADA9A7" w14:textId="1ED168A2" w:rsidR="00B02E2C" w:rsidRPr="00263C21" w:rsidRDefault="00B02E2C" w:rsidP="00B02E2C">
      <w:pPr>
        <w:pStyle w:val="ListParagraph"/>
        <w:numPr>
          <w:ilvl w:val="0"/>
          <w:numId w:val="18"/>
        </w:numPr>
        <w:spacing w:after="0" w:line="240" w:lineRule="auto"/>
        <w:contextualSpacing w:val="0"/>
        <w:rPr>
          <w:rFonts w:eastAsia="Times New Roman"/>
          <w:sz w:val="24"/>
          <w:szCs w:val="24"/>
        </w:rPr>
      </w:pPr>
      <w:r w:rsidRPr="00263C21">
        <w:rPr>
          <w:rFonts w:eastAsia="Times New Roman"/>
          <w:sz w:val="24"/>
          <w:szCs w:val="24"/>
        </w:rPr>
        <w:t>If the decision is reasonable</w:t>
      </w:r>
      <w:r w:rsidR="00A4192E" w:rsidRPr="00263C21">
        <w:rPr>
          <w:rFonts w:eastAsia="Times New Roman"/>
          <w:sz w:val="24"/>
          <w:szCs w:val="24"/>
        </w:rPr>
        <w:t>.</w:t>
      </w:r>
      <w:r w:rsidRPr="00263C21">
        <w:rPr>
          <w:rFonts w:eastAsia="Times New Roman"/>
          <w:sz w:val="24"/>
          <w:szCs w:val="24"/>
        </w:rPr>
        <w:t xml:space="preserve"> </w:t>
      </w:r>
    </w:p>
    <w:p w14:paraId="6352280F" w14:textId="62A7D20F" w:rsidR="00B02E2C" w:rsidRPr="00263C21" w:rsidRDefault="00B02E2C" w:rsidP="00B02E2C">
      <w:pPr>
        <w:pStyle w:val="ListParagraph"/>
        <w:numPr>
          <w:ilvl w:val="0"/>
          <w:numId w:val="18"/>
        </w:numPr>
        <w:spacing w:after="0" w:line="240" w:lineRule="auto"/>
        <w:contextualSpacing w:val="0"/>
        <w:rPr>
          <w:rFonts w:eastAsia="Times New Roman"/>
          <w:sz w:val="24"/>
          <w:szCs w:val="24"/>
        </w:rPr>
      </w:pPr>
      <w:r w:rsidRPr="00263C21">
        <w:rPr>
          <w:rFonts w:eastAsia="Times New Roman"/>
          <w:sz w:val="24"/>
          <w:szCs w:val="24"/>
        </w:rPr>
        <w:t>If the policy has been followed</w:t>
      </w:r>
      <w:r w:rsidR="00A4192E" w:rsidRPr="00263C21">
        <w:rPr>
          <w:rFonts w:eastAsia="Times New Roman"/>
          <w:sz w:val="24"/>
          <w:szCs w:val="24"/>
        </w:rPr>
        <w:t>.</w:t>
      </w:r>
      <w:r w:rsidRPr="00263C21">
        <w:rPr>
          <w:rFonts w:eastAsia="Times New Roman"/>
          <w:sz w:val="24"/>
          <w:szCs w:val="24"/>
        </w:rPr>
        <w:t xml:space="preserve"> </w:t>
      </w:r>
    </w:p>
    <w:p w14:paraId="61D7B0B9" w14:textId="42190264" w:rsidR="00B02E2C" w:rsidRPr="00263C21" w:rsidRDefault="00B02E2C" w:rsidP="05F05E5F">
      <w:pPr>
        <w:pStyle w:val="ListParagraph"/>
        <w:numPr>
          <w:ilvl w:val="0"/>
          <w:numId w:val="18"/>
        </w:numPr>
        <w:spacing w:after="0" w:line="240" w:lineRule="auto"/>
        <w:rPr>
          <w:rFonts w:eastAsia="Times New Roman"/>
          <w:sz w:val="24"/>
          <w:szCs w:val="24"/>
        </w:rPr>
      </w:pPr>
      <w:r w:rsidRPr="00263C21">
        <w:rPr>
          <w:rFonts w:eastAsia="Times New Roman"/>
          <w:sz w:val="24"/>
          <w:szCs w:val="24"/>
        </w:rPr>
        <w:t>If the resident</w:t>
      </w:r>
      <w:r w:rsidR="6A9533CE" w:rsidRPr="00263C21">
        <w:rPr>
          <w:rFonts w:eastAsia="Times New Roman"/>
          <w:sz w:val="24"/>
          <w:szCs w:val="24"/>
        </w:rPr>
        <w:t>’</w:t>
      </w:r>
      <w:r w:rsidRPr="00263C21">
        <w:rPr>
          <w:rFonts w:eastAsia="Times New Roman"/>
          <w:sz w:val="24"/>
          <w:szCs w:val="24"/>
        </w:rPr>
        <w:t xml:space="preserve">s vulnerabilities or extenuating circumstances have been </w:t>
      </w:r>
      <w:proofErr w:type="gramStart"/>
      <w:r w:rsidRPr="00263C21">
        <w:rPr>
          <w:rFonts w:eastAsia="Times New Roman"/>
          <w:sz w:val="24"/>
          <w:szCs w:val="24"/>
        </w:rPr>
        <w:t>taken into account</w:t>
      </w:r>
      <w:proofErr w:type="gramEnd"/>
      <w:r w:rsidR="180194F3" w:rsidRPr="00263C21">
        <w:rPr>
          <w:rFonts w:eastAsia="Times New Roman"/>
          <w:sz w:val="24"/>
          <w:szCs w:val="24"/>
        </w:rPr>
        <w:t>.</w:t>
      </w:r>
      <w:r w:rsidRPr="00263C21">
        <w:rPr>
          <w:rFonts w:eastAsia="Times New Roman"/>
          <w:sz w:val="24"/>
          <w:szCs w:val="24"/>
        </w:rPr>
        <w:t xml:space="preserve"> </w:t>
      </w:r>
    </w:p>
    <w:p w14:paraId="58667318" w14:textId="724F796D" w:rsidR="005F6626" w:rsidRPr="00263C21" w:rsidRDefault="5B132423" w:rsidP="006D2C84">
      <w:pPr>
        <w:pStyle w:val="ListParagraph"/>
        <w:spacing w:after="0" w:line="240" w:lineRule="auto"/>
        <w:rPr>
          <w:rFonts w:eastAsia="Times New Roman"/>
          <w:sz w:val="24"/>
          <w:szCs w:val="24"/>
        </w:rPr>
      </w:pPr>
      <w:r w:rsidRPr="00263C21">
        <w:rPr>
          <w:rFonts w:eastAsia="Times New Roman"/>
          <w:sz w:val="24"/>
          <w:szCs w:val="24"/>
        </w:rPr>
        <w:t>T</w:t>
      </w:r>
      <w:r w:rsidR="00B02E2C" w:rsidRPr="00263C21">
        <w:rPr>
          <w:rFonts w:eastAsia="Times New Roman"/>
          <w:sz w:val="24"/>
          <w:szCs w:val="24"/>
        </w:rPr>
        <w:t>he impact of the decision on the resident/applicant balanced with the impact on the other residents at the scheme.</w:t>
      </w:r>
    </w:p>
    <w:p w14:paraId="2AA38AEA" w14:textId="00ADDB24" w:rsidR="00B02E2C" w:rsidRPr="00263C21" w:rsidRDefault="005F6626" w:rsidP="00B02E2C">
      <w:pPr>
        <w:pStyle w:val="ListParagraph"/>
        <w:numPr>
          <w:ilvl w:val="0"/>
          <w:numId w:val="18"/>
        </w:numPr>
        <w:spacing w:after="0" w:line="240" w:lineRule="auto"/>
        <w:contextualSpacing w:val="0"/>
        <w:rPr>
          <w:rFonts w:eastAsia="Times New Roman"/>
          <w:sz w:val="24"/>
          <w:szCs w:val="24"/>
        </w:rPr>
      </w:pPr>
      <w:r w:rsidRPr="00263C21">
        <w:rPr>
          <w:rFonts w:eastAsia="Times New Roman"/>
          <w:sz w:val="24"/>
          <w:szCs w:val="24"/>
        </w:rPr>
        <w:t>Any new evidence or change in circumstances</w:t>
      </w:r>
      <w:r w:rsidR="007C387F" w:rsidRPr="00263C21">
        <w:rPr>
          <w:rFonts w:eastAsia="Times New Roman"/>
          <w:sz w:val="24"/>
          <w:szCs w:val="24"/>
        </w:rPr>
        <w:t xml:space="preserve">, although </w:t>
      </w:r>
      <w:r w:rsidR="00890303" w:rsidRPr="00263C21">
        <w:rPr>
          <w:rFonts w:eastAsia="Times New Roman"/>
          <w:sz w:val="24"/>
          <w:szCs w:val="24"/>
        </w:rPr>
        <w:t xml:space="preserve">the response </w:t>
      </w:r>
      <w:r w:rsidR="003E2698" w:rsidRPr="00263C21">
        <w:rPr>
          <w:rFonts w:eastAsia="Times New Roman"/>
          <w:sz w:val="24"/>
          <w:szCs w:val="24"/>
        </w:rPr>
        <w:t xml:space="preserve">should be clear </w:t>
      </w:r>
      <w:r w:rsidR="0065034D" w:rsidRPr="00263C21">
        <w:rPr>
          <w:rFonts w:eastAsia="Times New Roman"/>
          <w:sz w:val="24"/>
          <w:szCs w:val="24"/>
        </w:rPr>
        <w:t xml:space="preserve">where the original decision has been upheld and where a fresh assessment has been made. </w:t>
      </w:r>
      <w:r w:rsidRPr="00263C21">
        <w:rPr>
          <w:rFonts w:eastAsia="Times New Roman"/>
          <w:sz w:val="24"/>
          <w:szCs w:val="24"/>
        </w:rPr>
        <w:t xml:space="preserve"> </w:t>
      </w:r>
      <w:r w:rsidR="00B02E2C" w:rsidRPr="00263C21">
        <w:rPr>
          <w:rFonts w:eastAsia="Times New Roman"/>
          <w:sz w:val="24"/>
          <w:szCs w:val="24"/>
        </w:rPr>
        <w:t xml:space="preserve"> </w:t>
      </w:r>
    </w:p>
    <w:p w14:paraId="5F150773" w14:textId="6BB6AEF4" w:rsidR="00B02E2C" w:rsidRPr="008F5BED" w:rsidRDefault="004342CA" w:rsidP="008F5BED">
      <w:pPr>
        <w:pStyle w:val="Heading1"/>
      </w:pPr>
      <w:bookmarkStart w:id="25" w:name="_Toc184985257"/>
      <w:r>
        <w:t>Process</w:t>
      </w:r>
      <w:bookmarkEnd w:id="25"/>
      <w:r>
        <w:t xml:space="preserve"> </w:t>
      </w:r>
    </w:p>
    <w:p w14:paraId="3049B782" w14:textId="1CFA562A" w:rsidR="00B0575A" w:rsidRPr="007E0464" w:rsidRDefault="00B0575A" w:rsidP="00B0575A">
      <w:pPr>
        <w:rPr>
          <w:sz w:val="24"/>
          <w:szCs w:val="24"/>
        </w:rPr>
      </w:pPr>
      <w:r w:rsidRPr="161C42D0">
        <w:rPr>
          <w:sz w:val="24"/>
          <w:szCs w:val="24"/>
        </w:rPr>
        <w:t xml:space="preserve">Supporting procedures </w:t>
      </w:r>
      <w:r w:rsidR="002C18D6">
        <w:rPr>
          <w:sz w:val="24"/>
          <w:szCs w:val="24"/>
        </w:rPr>
        <w:t xml:space="preserve">will </w:t>
      </w:r>
      <w:r w:rsidRPr="161C42D0">
        <w:rPr>
          <w:sz w:val="24"/>
          <w:szCs w:val="24"/>
        </w:rPr>
        <w:t>accompany this policy. We will ensure that relevant employees are provided with the necessary training to deliver these so that they are able to offer appropriate levels of support to residents.</w:t>
      </w:r>
    </w:p>
    <w:p w14:paraId="3BDB5861" w14:textId="44CBBBD1" w:rsidR="00855DAE" w:rsidRPr="00FC01F5" w:rsidRDefault="00855DAE" w:rsidP="00855DAE">
      <w:pPr>
        <w:pStyle w:val="Heading1"/>
        <w:rPr>
          <w:rFonts w:eastAsia="Calibri"/>
        </w:rPr>
      </w:pPr>
    </w:p>
    <w:p w14:paraId="5BE9A51A" w14:textId="77777777" w:rsidR="00D67DBC" w:rsidRPr="00FC01F5" w:rsidRDefault="00D67DBC">
      <w:pPr>
        <w:rPr>
          <w:sz w:val="24"/>
          <w:szCs w:val="24"/>
        </w:rPr>
      </w:pPr>
    </w:p>
    <w:sectPr w:rsidR="00D67DBC" w:rsidRPr="00FC01F5" w:rsidSect="00583FB5">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6917" w14:textId="77777777" w:rsidR="006158FD" w:rsidRDefault="006158FD" w:rsidP="009504C2">
      <w:pPr>
        <w:spacing w:after="0" w:line="240" w:lineRule="auto"/>
      </w:pPr>
      <w:r>
        <w:separator/>
      </w:r>
    </w:p>
  </w:endnote>
  <w:endnote w:type="continuationSeparator" w:id="0">
    <w:p w14:paraId="4067ADA6" w14:textId="77777777" w:rsidR="006158FD" w:rsidRDefault="006158FD" w:rsidP="009504C2">
      <w:pPr>
        <w:spacing w:after="0" w:line="240" w:lineRule="auto"/>
      </w:pPr>
      <w:r>
        <w:continuationSeparator/>
      </w:r>
    </w:p>
  </w:endnote>
  <w:endnote w:type="continuationNotice" w:id="1">
    <w:p w14:paraId="403DC738" w14:textId="77777777" w:rsidR="006158FD" w:rsidRDefault="006158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
    <w:altName w:val="Calibri"/>
    <w:charset w:val="00"/>
    <w:family w:val="auto"/>
    <w:pitch w:val="default"/>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99613"/>
      <w:docPartObj>
        <w:docPartGallery w:val="Page Numbers (Bottom of Page)"/>
        <w:docPartUnique/>
      </w:docPartObj>
    </w:sdtPr>
    <w:sdtEndPr/>
    <w:sdtContent>
      <w:sdt>
        <w:sdtPr>
          <w:id w:val="-1769616900"/>
          <w:docPartObj>
            <w:docPartGallery w:val="Page Numbers (Top of Page)"/>
            <w:docPartUnique/>
          </w:docPartObj>
        </w:sdtPr>
        <w:sdtEndPr/>
        <w:sdtContent>
          <w:p w14:paraId="04EEEBBA" w14:textId="2575FBF6" w:rsidR="00133529" w:rsidRDefault="00713A75" w:rsidP="00133529">
            <w:pPr>
              <w:pStyle w:val="Footer"/>
            </w:pPr>
            <w:r>
              <w:t xml:space="preserve">Current and Former Tenant Arrears Policy </w:t>
            </w:r>
            <w:r w:rsidR="001541E1">
              <w:t xml:space="preserve">Issue 1 </w:t>
            </w:r>
            <w:r w:rsidR="0092799F">
              <w:t>Final Nov</w:t>
            </w:r>
            <w:r w:rsidR="001541E1">
              <w:t xml:space="preserve"> 2024</w:t>
            </w:r>
          </w:p>
          <w:p w14:paraId="39C14B8D" w14:textId="2AFB4766" w:rsidR="00BD0CCD" w:rsidRDefault="001541E1">
            <w:pPr>
              <w:pStyle w:val="Footer"/>
              <w:jc w:val="right"/>
            </w:pPr>
            <w:r>
              <w:t xml:space="preserve"> </w:t>
            </w:r>
            <w:r w:rsidR="00BD0CCD">
              <w:t xml:space="preserve">Page </w:t>
            </w:r>
            <w:r w:rsidR="00BD0CCD">
              <w:rPr>
                <w:b/>
                <w:bCs/>
                <w:sz w:val="24"/>
                <w:szCs w:val="24"/>
              </w:rPr>
              <w:fldChar w:fldCharType="begin"/>
            </w:r>
            <w:r w:rsidR="00BD0CCD">
              <w:rPr>
                <w:b/>
                <w:bCs/>
              </w:rPr>
              <w:instrText xml:space="preserve"> PAGE </w:instrText>
            </w:r>
            <w:r w:rsidR="00BD0CCD">
              <w:rPr>
                <w:b/>
                <w:bCs/>
                <w:sz w:val="24"/>
                <w:szCs w:val="24"/>
              </w:rPr>
              <w:fldChar w:fldCharType="separate"/>
            </w:r>
            <w:r w:rsidR="00BD0CCD">
              <w:rPr>
                <w:b/>
                <w:bCs/>
                <w:noProof/>
              </w:rPr>
              <w:t>2</w:t>
            </w:r>
            <w:r w:rsidR="00BD0CCD">
              <w:rPr>
                <w:b/>
                <w:bCs/>
                <w:sz w:val="24"/>
                <w:szCs w:val="24"/>
              </w:rPr>
              <w:fldChar w:fldCharType="end"/>
            </w:r>
            <w:r w:rsidR="00BD0CCD">
              <w:t xml:space="preserve"> of </w:t>
            </w:r>
            <w:r w:rsidR="00BD0CCD">
              <w:rPr>
                <w:b/>
                <w:bCs/>
                <w:sz w:val="24"/>
                <w:szCs w:val="24"/>
              </w:rPr>
              <w:fldChar w:fldCharType="begin"/>
            </w:r>
            <w:r w:rsidR="00BD0CCD">
              <w:rPr>
                <w:b/>
                <w:bCs/>
              </w:rPr>
              <w:instrText xml:space="preserve"> NUMPAGES  </w:instrText>
            </w:r>
            <w:r w:rsidR="00BD0CCD">
              <w:rPr>
                <w:b/>
                <w:bCs/>
                <w:sz w:val="24"/>
                <w:szCs w:val="24"/>
              </w:rPr>
              <w:fldChar w:fldCharType="separate"/>
            </w:r>
            <w:r w:rsidR="00BD0CCD">
              <w:rPr>
                <w:b/>
                <w:bCs/>
                <w:noProof/>
              </w:rPr>
              <w:t>2</w:t>
            </w:r>
            <w:r w:rsidR="00BD0CCD">
              <w:rPr>
                <w:b/>
                <w:bCs/>
                <w:sz w:val="24"/>
                <w:szCs w:val="24"/>
              </w:rPr>
              <w:fldChar w:fldCharType="end"/>
            </w:r>
          </w:p>
        </w:sdtContent>
      </w:sdt>
    </w:sdtContent>
  </w:sdt>
  <w:p w14:paraId="7DDA33F9" w14:textId="77777777" w:rsidR="00583FB5" w:rsidRDefault="00583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17089"/>
      <w:docPartObj>
        <w:docPartGallery w:val="Page Numbers (Bottom of Page)"/>
        <w:docPartUnique/>
      </w:docPartObj>
    </w:sdtPr>
    <w:sdtEndPr/>
    <w:sdtContent>
      <w:sdt>
        <w:sdtPr>
          <w:id w:val="1728636285"/>
          <w:docPartObj>
            <w:docPartGallery w:val="Page Numbers (Top of Page)"/>
            <w:docPartUnique/>
          </w:docPartObj>
        </w:sdtPr>
        <w:sdtEndPr/>
        <w:sdtContent>
          <w:p w14:paraId="6A900047" w14:textId="06C85443" w:rsidR="00950670" w:rsidRPr="00950670" w:rsidRDefault="00950670">
            <w:pPr>
              <w:pStyle w:val="Footer"/>
              <w:jc w:val="center"/>
            </w:pPr>
            <w:r w:rsidRPr="00950670">
              <w:t xml:space="preserve">Page </w:t>
            </w:r>
            <w:r w:rsidRPr="00950670">
              <w:rPr>
                <w:sz w:val="24"/>
                <w:szCs w:val="24"/>
              </w:rPr>
              <w:fldChar w:fldCharType="begin"/>
            </w:r>
            <w:r w:rsidRPr="00950670">
              <w:instrText xml:space="preserve"> PAGE </w:instrText>
            </w:r>
            <w:r w:rsidRPr="00950670">
              <w:rPr>
                <w:sz w:val="24"/>
                <w:szCs w:val="24"/>
              </w:rPr>
              <w:fldChar w:fldCharType="separate"/>
            </w:r>
            <w:r w:rsidRPr="00950670">
              <w:rPr>
                <w:noProof/>
              </w:rPr>
              <w:t>2</w:t>
            </w:r>
            <w:r w:rsidRPr="00950670">
              <w:rPr>
                <w:sz w:val="24"/>
                <w:szCs w:val="24"/>
              </w:rPr>
              <w:fldChar w:fldCharType="end"/>
            </w:r>
            <w:r w:rsidRPr="00950670">
              <w:t xml:space="preserve"> of </w:t>
            </w:r>
            <w:r>
              <w:fldChar w:fldCharType="begin"/>
            </w:r>
            <w:r>
              <w:instrText>NUMPAGES</w:instrText>
            </w:r>
            <w:r>
              <w:fldChar w:fldCharType="separate"/>
            </w:r>
            <w:r w:rsidRPr="00950670">
              <w:rPr>
                <w:noProof/>
              </w:rPr>
              <w:t>2</w:t>
            </w:r>
            <w:r>
              <w:fldChar w:fldCharType="end"/>
            </w:r>
          </w:p>
        </w:sdtContent>
      </w:sdt>
    </w:sdtContent>
  </w:sdt>
  <w:p w14:paraId="0C48CDDD" w14:textId="77777777" w:rsidR="00950670" w:rsidRDefault="0095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8C71" w14:textId="77777777" w:rsidR="006158FD" w:rsidRDefault="006158FD" w:rsidP="009504C2">
      <w:pPr>
        <w:spacing w:after="0" w:line="240" w:lineRule="auto"/>
      </w:pPr>
      <w:r>
        <w:separator/>
      </w:r>
    </w:p>
  </w:footnote>
  <w:footnote w:type="continuationSeparator" w:id="0">
    <w:p w14:paraId="36808C5D" w14:textId="77777777" w:rsidR="006158FD" w:rsidRDefault="006158FD" w:rsidP="009504C2">
      <w:pPr>
        <w:spacing w:after="0" w:line="240" w:lineRule="auto"/>
      </w:pPr>
      <w:r>
        <w:continuationSeparator/>
      </w:r>
    </w:p>
  </w:footnote>
  <w:footnote w:type="continuationNotice" w:id="1">
    <w:p w14:paraId="116A9A8C" w14:textId="77777777" w:rsidR="006158FD" w:rsidRDefault="006158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BF2" w14:textId="39C23A9B" w:rsidR="009504C2" w:rsidRDefault="009504C2">
    <w:pPr>
      <w:pStyle w:val="Header"/>
    </w:pPr>
    <w:r>
      <w:rPr>
        <w:noProof/>
      </w:rPr>
      <w:drawing>
        <wp:anchor distT="0" distB="0" distL="114300" distR="114300" simplePos="0" relativeHeight="251658241" behindDoc="1" locked="0" layoutInCell="1" allowOverlap="1" wp14:anchorId="35E411D7" wp14:editId="5CA8352B">
          <wp:simplePos x="0" y="0"/>
          <wp:positionH relativeFrom="page">
            <wp:align>left</wp:align>
          </wp:positionH>
          <wp:positionV relativeFrom="paragraph">
            <wp:posOffset>-449742</wp:posOffset>
          </wp:positionV>
          <wp:extent cx="7642625" cy="10699845"/>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542" cy="107137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1785" w14:textId="2DEF9DA9" w:rsidR="009504C2" w:rsidRDefault="009504C2">
    <w:pPr>
      <w:pStyle w:val="Header"/>
    </w:pPr>
    <w:r>
      <w:rPr>
        <w:noProof/>
      </w:rPr>
      <w:drawing>
        <wp:anchor distT="0" distB="0" distL="114300" distR="114300" simplePos="0" relativeHeight="251658240"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816"/>
    <w:multiLevelType w:val="hybridMultilevel"/>
    <w:tmpl w:val="5594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80EDF"/>
    <w:multiLevelType w:val="hybridMultilevel"/>
    <w:tmpl w:val="7F985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450BC6"/>
    <w:multiLevelType w:val="hybridMultilevel"/>
    <w:tmpl w:val="A05EDDEE"/>
    <w:lvl w:ilvl="0" w:tplc="89E6A1AA">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54C90E">
      <w:start w:val="1"/>
      <w:numFmt w:val="bullet"/>
      <w:lvlText w:val="o"/>
      <w:lvlJc w:val="left"/>
      <w:pPr>
        <w:ind w:left="1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FC64A2">
      <w:start w:val="1"/>
      <w:numFmt w:val="bullet"/>
      <w:lvlText w:val="▪"/>
      <w:lvlJc w:val="left"/>
      <w:pPr>
        <w:ind w:left="2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728CC2">
      <w:start w:val="1"/>
      <w:numFmt w:val="bullet"/>
      <w:lvlText w:val="•"/>
      <w:lvlJc w:val="left"/>
      <w:pPr>
        <w:ind w:left="2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4B23E">
      <w:start w:val="1"/>
      <w:numFmt w:val="bullet"/>
      <w:lvlText w:val="o"/>
      <w:lvlJc w:val="left"/>
      <w:pPr>
        <w:ind w:left="3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886884">
      <w:start w:val="1"/>
      <w:numFmt w:val="bullet"/>
      <w:lvlText w:val="▪"/>
      <w:lvlJc w:val="left"/>
      <w:pPr>
        <w:ind w:left="4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3CFE8A">
      <w:start w:val="1"/>
      <w:numFmt w:val="bullet"/>
      <w:lvlText w:val="•"/>
      <w:lvlJc w:val="left"/>
      <w:pPr>
        <w:ind w:left="4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BA7814">
      <w:start w:val="1"/>
      <w:numFmt w:val="bullet"/>
      <w:lvlText w:val="o"/>
      <w:lvlJc w:val="left"/>
      <w:pPr>
        <w:ind w:left="5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BEDEC6">
      <w:start w:val="1"/>
      <w:numFmt w:val="bullet"/>
      <w:lvlText w:val="▪"/>
      <w:lvlJc w:val="left"/>
      <w:pPr>
        <w:ind w:left="6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CA4A96"/>
    <w:multiLevelType w:val="hybridMultilevel"/>
    <w:tmpl w:val="50A8925C"/>
    <w:lvl w:ilvl="0" w:tplc="65F4A62C">
      <w:start w:val="1"/>
      <w:numFmt w:val="bullet"/>
      <w:lvlText w:val="•"/>
      <w:lvlJc w:val="left"/>
      <w:pPr>
        <w:ind w:left="16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12C1478">
      <w:start w:val="1"/>
      <w:numFmt w:val="bullet"/>
      <w:lvlText w:val="o"/>
      <w:lvlJc w:val="left"/>
      <w:pPr>
        <w:ind w:left="2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FAEABBC">
      <w:start w:val="1"/>
      <w:numFmt w:val="bullet"/>
      <w:lvlText w:val="▪"/>
      <w:lvlJc w:val="left"/>
      <w:pPr>
        <w:ind w:left="3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9F66222">
      <w:start w:val="1"/>
      <w:numFmt w:val="bullet"/>
      <w:lvlText w:val="•"/>
      <w:lvlJc w:val="left"/>
      <w:pPr>
        <w:ind w:left="37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18886E8">
      <w:start w:val="1"/>
      <w:numFmt w:val="bullet"/>
      <w:lvlText w:val="o"/>
      <w:lvlJc w:val="left"/>
      <w:pPr>
        <w:ind w:left="44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212464A">
      <w:start w:val="1"/>
      <w:numFmt w:val="bullet"/>
      <w:lvlText w:val="▪"/>
      <w:lvlJc w:val="left"/>
      <w:pPr>
        <w:ind w:left="52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50027FA">
      <w:start w:val="1"/>
      <w:numFmt w:val="bullet"/>
      <w:lvlText w:val="•"/>
      <w:lvlJc w:val="left"/>
      <w:pPr>
        <w:ind w:left="59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4B8E6A6">
      <w:start w:val="1"/>
      <w:numFmt w:val="bullet"/>
      <w:lvlText w:val="o"/>
      <w:lvlJc w:val="left"/>
      <w:pPr>
        <w:ind w:left="66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946770E">
      <w:start w:val="1"/>
      <w:numFmt w:val="bullet"/>
      <w:lvlText w:val="▪"/>
      <w:lvlJc w:val="left"/>
      <w:pPr>
        <w:ind w:left="73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9E76573"/>
    <w:multiLevelType w:val="hybridMultilevel"/>
    <w:tmpl w:val="82F2DF1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5" w15:restartNumberingAfterBreak="0">
    <w:nsid w:val="1D6737E7"/>
    <w:multiLevelType w:val="hybridMultilevel"/>
    <w:tmpl w:val="D3086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6F105A"/>
    <w:multiLevelType w:val="multilevel"/>
    <w:tmpl w:val="D9869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C0D09"/>
    <w:multiLevelType w:val="hybridMultilevel"/>
    <w:tmpl w:val="0BC291C4"/>
    <w:lvl w:ilvl="0" w:tplc="7D1623C8">
      <w:start w:val="1"/>
      <w:numFmt w:val="bullet"/>
      <w:lvlText w:val=""/>
      <w:lvlJc w:val="left"/>
      <w:pPr>
        <w:ind w:left="720" w:hanging="360"/>
      </w:pPr>
      <w:rPr>
        <w:rFonts w:ascii="Symbol" w:hAnsi="Symbol" w:hint="default"/>
        <w:color w:val="0D93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9023C"/>
    <w:multiLevelType w:val="hybridMultilevel"/>
    <w:tmpl w:val="D988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81CC0"/>
    <w:multiLevelType w:val="hybridMultilevel"/>
    <w:tmpl w:val="3802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4460E"/>
    <w:multiLevelType w:val="hybridMultilevel"/>
    <w:tmpl w:val="841A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F12A9"/>
    <w:multiLevelType w:val="hybridMultilevel"/>
    <w:tmpl w:val="402C6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A19CA"/>
    <w:multiLevelType w:val="multilevel"/>
    <w:tmpl w:val="C17AF758"/>
    <w:lvl w:ilvl="0">
      <w:start w:val="1"/>
      <w:numFmt w:val="decimal"/>
      <w:lvlText w:val="%1."/>
      <w:lvlJc w:val="left"/>
      <w:pPr>
        <w:ind w:left="360" w:hanging="360"/>
      </w:pPr>
      <w:rPr>
        <w:b/>
      </w:rPr>
    </w:lvl>
    <w:lvl w:ilvl="1">
      <w:start w:val="1"/>
      <w:numFmt w:val="decimal"/>
      <w:lvlText w:val="%1.%2."/>
      <w:lvlJc w:val="left"/>
      <w:pPr>
        <w:ind w:left="1404" w:hanging="432"/>
      </w:pPr>
      <w:rPr>
        <w:b w:val="0"/>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305FDB"/>
    <w:multiLevelType w:val="multilevel"/>
    <w:tmpl w:val="2D7E8210"/>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5E7B01"/>
    <w:multiLevelType w:val="hybridMultilevel"/>
    <w:tmpl w:val="4B742BB4"/>
    <w:lvl w:ilvl="0" w:tplc="E7BA8B82">
      <w:start w:val="1"/>
      <w:numFmt w:val="bullet"/>
      <w:lvlText w:val="•"/>
      <w:lvlJc w:val="left"/>
      <w:pPr>
        <w:ind w:left="1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CBADC">
      <w:start w:val="1"/>
      <w:numFmt w:val="bullet"/>
      <w:lvlText w:val="o"/>
      <w:lvlJc w:val="left"/>
      <w:pPr>
        <w:ind w:left="2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A6F9EA">
      <w:start w:val="1"/>
      <w:numFmt w:val="bullet"/>
      <w:lvlText w:val="▪"/>
      <w:lvlJc w:val="left"/>
      <w:pPr>
        <w:ind w:left="2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C033AC">
      <w:start w:val="1"/>
      <w:numFmt w:val="bullet"/>
      <w:lvlText w:val="•"/>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C430FC">
      <w:start w:val="1"/>
      <w:numFmt w:val="bullet"/>
      <w:lvlText w:val="o"/>
      <w:lvlJc w:val="left"/>
      <w:pPr>
        <w:ind w:left="4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80D1F2">
      <w:start w:val="1"/>
      <w:numFmt w:val="bullet"/>
      <w:lvlText w:val="▪"/>
      <w:lvlJc w:val="left"/>
      <w:pPr>
        <w:ind w:left="5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E2586C">
      <w:start w:val="1"/>
      <w:numFmt w:val="bullet"/>
      <w:lvlText w:val="•"/>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40D490">
      <w:start w:val="1"/>
      <w:numFmt w:val="bullet"/>
      <w:lvlText w:val="o"/>
      <w:lvlJc w:val="left"/>
      <w:pPr>
        <w:ind w:left="6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36D100">
      <w:start w:val="1"/>
      <w:numFmt w:val="bullet"/>
      <w:lvlText w:val="▪"/>
      <w:lvlJc w:val="left"/>
      <w:pPr>
        <w:ind w:left="7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037F8D"/>
    <w:multiLevelType w:val="hybridMultilevel"/>
    <w:tmpl w:val="420E9FBA"/>
    <w:lvl w:ilvl="0" w:tplc="7D1623C8">
      <w:start w:val="1"/>
      <w:numFmt w:val="bullet"/>
      <w:lvlText w:val=""/>
      <w:lvlJc w:val="left"/>
      <w:pPr>
        <w:ind w:left="1696" w:hanging="360"/>
      </w:pPr>
      <w:rPr>
        <w:rFonts w:ascii="Symbol" w:hAnsi="Symbol" w:hint="default"/>
        <w:color w:val="0D93D2"/>
      </w:rPr>
    </w:lvl>
    <w:lvl w:ilvl="1" w:tplc="08090003" w:tentative="1">
      <w:start w:val="1"/>
      <w:numFmt w:val="bullet"/>
      <w:lvlText w:val="o"/>
      <w:lvlJc w:val="left"/>
      <w:pPr>
        <w:ind w:left="2416" w:hanging="360"/>
      </w:pPr>
      <w:rPr>
        <w:rFonts w:ascii="Courier New" w:hAnsi="Courier New" w:cs="Courier New" w:hint="default"/>
      </w:rPr>
    </w:lvl>
    <w:lvl w:ilvl="2" w:tplc="08090005" w:tentative="1">
      <w:start w:val="1"/>
      <w:numFmt w:val="bullet"/>
      <w:lvlText w:val=""/>
      <w:lvlJc w:val="left"/>
      <w:pPr>
        <w:ind w:left="3136" w:hanging="360"/>
      </w:pPr>
      <w:rPr>
        <w:rFonts w:ascii="Wingdings" w:hAnsi="Wingdings" w:hint="default"/>
      </w:rPr>
    </w:lvl>
    <w:lvl w:ilvl="3" w:tplc="08090001" w:tentative="1">
      <w:start w:val="1"/>
      <w:numFmt w:val="bullet"/>
      <w:lvlText w:val=""/>
      <w:lvlJc w:val="left"/>
      <w:pPr>
        <w:ind w:left="3856" w:hanging="360"/>
      </w:pPr>
      <w:rPr>
        <w:rFonts w:ascii="Symbol" w:hAnsi="Symbol" w:hint="default"/>
      </w:rPr>
    </w:lvl>
    <w:lvl w:ilvl="4" w:tplc="08090003" w:tentative="1">
      <w:start w:val="1"/>
      <w:numFmt w:val="bullet"/>
      <w:lvlText w:val="o"/>
      <w:lvlJc w:val="left"/>
      <w:pPr>
        <w:ind w:left="4576" w:hanging="360"/>
      </w:pPr>
      <w:rPr>
        <w:rFonts w:ascii="Courier New" w:hAnsi="Courier New" w:cs="Courier New" w:hint="default"/>
      </w:rPr>
    </w:lvl>
    <w:lvl w:ilvl="5" w:tplc="08090005" w:tentative="1">
      <w:start w:val="1"/>
      <w:numFmt w:val="bullet"/>
      <w:lvlText w:val=""/>
      <w:lvlJc w:val="left"/>
      <w:pPr>
        <w:ind w:left="5296" w:hanging="360"/>
      </w:pPr>
      <w:rPr>
        <w:rFonts w:ascii="Wingdings" w:hAnsi="Wingdings" w:hint="default"/>
      </w:rPr>
    </w:lvl>
    <w:lvl w:ilvl="6" w:tplc="08090001" w:tentative="1">
      <w:start w:val="1"/>
      <w:numFmt w:val="bullet"/>
      <w:lvlText w:val=""/>
      <w:lvlJc w:val="left"/>
      <w:pPr>
        <w:ind w:left="6016" w:hanging="360"/>
      </w:pPr>
      <w:rPr>
        <w:rFonts w:ascii="Symbol" w:hAnsi="Symbol" w:hint="default"/>
      </w:rPr>
    </w:lvl>
    <w:lvl w:ilvl="7" w:tplc="08090003" w:tentative="1">
      <w:start w:val="1"/>
      <w:numFmt w:val="bullet"/>
      <w:lvlText w:val="o"/>
      <w:lvlJc w:val="left"/>
      <w:pPr>
        <w:ind w:left="6736" w:hanging="360"/>
      </w:pPr>
      <w:rPr>
        <w:rFonts w:ascii="Courier New" w:hAnsi="Courier New" w:cs="Courier New" w:hint="default"/>
      </w:rPr>
    </w:lvl>
    <w:lvl w:ilvl="8" w:tplc="08090005" w:tentative="1">
      <w:start w:val="1"/>
      <w:numFmt w:val="bullet"/>
      <w:lvlText w:val=""/>
      <w:lvlJc w:val="left"/>
      <w:pPr>
        <w:ind w:left="7456" w:hanging="360"/>
      </w:pPr>
      <w:rPr>
        <w:rFonts w:ascii="Wingdings" w:hAnsi="Wingdings" w:hint="default"/>
      </w:rPr>
    </w:lvl>
  </w:abstractNum>
  <w:abstractNum w:abstractNumId="16" w15:restartNumberingAfterBreak="0">
    <w:nsid w:val="6BF26562"/>
    <w:multiLevelType w:val="hybridMultilevel"/>
    <w:tmpl w:val="62D8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F3D0C"/>
    <w:multiLevelType w:val="hybridMultilevel"/>
    <w:tmpl w:val="86FE2514"/>
    <w:lvl w:ilvl="0" w:tplc="08090013">
      <w:start w:val="1"/>
      <w:numFmt w:val="upperRoman"/>
      <w:lvlText w:val="%1."/>
      <w:lvlJc w:val="right"/>
      <w:pPr>
        <w:ind w:left="720" w:hanging="360"/>
      </w:pPr>
    </w:lvl>
    <w:lvl w:ilvl="1" w:tplc="7D5CD44C">
      <w:numFmt w:val="bullet"/>
      <w:lvlText w:val="-"/>
      <w:lvlJc w:val="left"/>
      <w:rPr>
        <w:rFonts w:ascii="Arial" w:eastAsia="Calibri" w:hAnsi="Arial" w:cs="Arial"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0A0D19"/>
    <w:multiLevelType w:val="multilevel"/>
    <w:tmpl w:val="C3DC589C"/>
    <w:lvl w:ilvl="0">
      <w:start w:val="1"/>
      <w:numFmt w:val="decimal"/>
      <w:lvlText w:val="%1."/>
      <w:lvlJc w:val="left"/>
      <w:pPr>
        <w:ind w:left="720" w:hanging="360"/>
      </w:pPr>
      <w:rPr>
        <w:rFonts w:asciiTheme="minorHAnsi" w:hAnsiTheme="minorHAnsi" w:cstheme="minorHAnsi" w:hint="default"/>
        <w:color w:val="8496B0" w:themeColor="text2" w:themeTint="99"/>
        <w:sz w:val="24"/>
        <w:szCs w:val="24"/>
      </w:rPr>
    </w:lvl>
    <w:lvl w:ilvl="1">
      <w:start w:val="1"/>
      <w:numFmt w:val="decimal"/>
      <w:isLgl/>
      <w:lvlText w:val="%1.%2."/>
      <w:lvlJc w:val="left"/>
      <w:pPr>
        <w:ind w:left="1440" w:hanging="720"/>
      </w:pPr>
      <w:rPr>
        <w:rFonts w:hint="default"/>
        <w:b w:val="0"/>
        <w:bCs w:val="0"/>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785811D1"/>
    <w:multiLevelType w:val="hybridMultilevel"/>
    <w:tmpl w:val="52DC311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79691564"/>
    <w:multiLevelType w:val="hybridMultilevel"/>
    <w:tmpl w:val="895AA690"/>
    <w:lvl w:ilvl="0" w:tplc="5BBCA472">
      <w:start w:val="1"/>
      <w:numFmt w:val="bullet"/>
      <w:lvlText w:val="•"/>
      <w:lvlJc w:val="left"/>
      <w:pPr>
        <w:ind w:left="1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E2F62">
      <w:start w:val="1"/>
      <w:numFmt w:val="bullet"/>
      <w:lvlText w:val="o"/>
      <w:lvlJc w:val="left"/>
      <w:pPr>
        <w:ind w:left="2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6CC482">
      <w:start w:val="1"/>
      <w:numFmt w:val="bullet"/>
      <w:lvlText w:val="▪"/>
      <w:lvlJc w:val="left"/>
      <w:pPr>
        <w:ind w:left="2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46FCE2">
      <w:start w:val="1"/>
      <w:numFmt w:val="bullet"/>
      <w:lvlText w:val="•"/>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B40DCE">
      <w:start w:val="1"/>
      <w:numFmt w:val="bullet"/>
      <w:lvlText w:val="o"/>
      <w:lvlJc w:val="left"/>
      <w:pPr>
        <w:ind w:left="4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5AB968">
      <w:start w:val="1"/>
      <w:numFmt w:val="bullet"/>
      <w:lvlText w:val="▪"/>
      <w:lvlJc w:val="left"/>
      <w:pPr>
        <w:ind w:left="5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D4D418">
      <w:start w:val="1"/>
      <w:numFmt w:val="bullet"/>
      <w:lvlText w:val="•"/>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084BA">
      <w:start w:val="1"/>
      <w:numFmt w:val="bullet"/>
      <w:lvlText w:val="o"/>
      <w:lvlJc w:val="left"/>
      <w:pPr>
        <w:ind w:left="6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940E72">
      <w:start w:val="1"/>
      <w:numFmt w:val="bullet"/>
      <w:lvlText w:val="▪"/>
      <w:lvlJc w:val="left"/>
      <w:pPr>
        <w:ind w:left="7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29574735">
    <w:abstractNumId w:val="7"/>
  </w:num>
  <w:num w:numId="2" w16cid:durableId="1346444883">
    <w:abstractNumId w:val="11"/>
  </w:num>
  <w:num w:numId="3" w16cid:durableId="66537771">
    <w:abstractNumId w:val="1"/>
  </w:num>
  <w:num w:numId="4" w16cid:durableId="97067842">
    <w:abstractNumId w:val="3"/>
  </w:num>
  <w:num w:numId="5" w16cid:durableId="403189382">
    <w:abstractNumId w:val="0"/>
  </w:num>
  <w:num w:numId="6" w16cid:durableId="617565973">
    <w:abstractNumId w:val="2"/>
  </w:num>
  <w:num w:numId="7" w16cid:durableId="958410215">
    <w:abstractNumId w:val="13"/>
  </w:num>
  <w:num w:numId="8" w16cid:durableId="1349482467">
    <w:abstractNumId w:val="14"/>
  </w:num>
  <w:num w:numId="9" w16cid:durableId="741102288">
    <w:abstractNumId w:val="8"/>
  </w:num>
  <w:num w:numId="10" w16cid:durableId="976647738">
    <w:abstractNumId w:val="20"/>
  </w:num>
  <w:num w:numId="11" w16cid:durableId="2111731078">
    <w:abstractNumId w:val="15"/>
  </w:num>
  <w:num w:numId="12" w16cid:durableId="18747812">
    <w:abstractNumId w:val="16"/>
  </w:num>
  <w:num w:numId="13" w16cid:durableId="307588092">
    <w:abstractNumId w:val="17"/>
  </w:num>
  <w:num w:numId="14" w16cid:durableId="1137409488">
    <w:abstractNumId w:val="18"/>
  </w:num>
  <w:num w:numId="15" w16cid:durableId="716708223">
    <w:abstractNumId w:val="10"/>
  </w:num>
  <w:num w:numId="16" w16cid:durableId="527109083">
    <w:abstractNumId w:val="12"/>
  </w:num>
  <w:num w:numId="17" w16cid:durableId="724793712">
    <w:abstractNumId w:val="4"/>
  </w:num>
  <w:num w:numId="18" w16cid:durableId="1287345830">
    <w:abstractNumId w:val="5"/>
  </w:num>
  <w:num w:numId="19" w16cid:durableId="1604731153">
    <w:abstractNumId w:val="19"/>
  </w:num>
  <w:num w:numId="20" w16cid:durableId="666978566">
    <w:abstractNumId w:val="9"/>
  </w:num>
  <w:num w:numId="21" w16cid:durableId="1642614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00891"/>
    <w:rsid w:val="00002639"/>
    <w:rsid w:val="00002986"/>
    <w:rsid w:val="00006124"/>
    <w:rsid w:val="0000652C"/>
    <w:rsid w:val="00006FF9"/>
    <w:rsid w:val="0001217A"/>
    <w:rsid w:val="00014536"/>
    <w:rsid w:val="00014AC1"/>
    <w:rsid w:val="000203BD"/>
    <w:rsid w:val="000234AD"/>
    <w:rsid w:val="00024487"/>
    <w:rsid w:val="00025082"/>
    <w:rsid w:val="000251D4"/>
    <w:rsid w:val="00025C7F"/>
    <w:rsid w:val="000262A6"/>
    <w:rsid w:val="000314D6"/>
    <w:rsid w:val="000317E1"/>
    <w:rsid w:val="0003202F"/>
    <w:rsid w:val="00034AC4"/>
    <w:rsid w:val="00035F2C"/>
    <w:rsid w:val="00041FDB"/>
    <w:rsid w:val="00043481"/>
    <w:rsid w:val="00043AB5"/>
    <w:rsid w:val="00044922"/>
    <w:rsid w:val="000504C7"/>
    <w:rsid w:val="00054F77"/>
    <w:rsid w:val="00057499"/>
    <w:rsid w:val="00060917"/>
    <w:rsid w:val="00062471"/>
    <w:rsid w:val="00062B21"/>
    <w:rsid w:val="00063A17"/>
    <w:rsid w:val="00063F3D"/>
    <w:rsid w:val="00064D56"/>
    <w:rsid w:val="0006758F"/>
    <w:rsid w:val="0007103B"/>
    <w:rsid w:val="000712AC"/>
    <w:rsid w:val="00073403"/>
    <w:rsid w:val="00075C8E"/>
    <w:rsid w:val="000774FC"/>
    <w:rsid w:val="00077BD4"/>
    <w:rsid w:val="00081DDA"/>
    <w:rsid w:val="00084D54"/>
    <w:rsid w:val="0008561A"/>
    <w:rsid w:val="00086801"/>
    <w:rsid w:val="00097537"/>
    <w:rsid w:val="00097C84"/>
    <w:rsid w:val="000A1337"/>
    <w:rsid w:val="000A3691"/>
    <w:rsid w:val="000A4D20"/>
    <w:rsid w:val="000A5370"/>
    <w:rsid w:val="000A60C8"/>
    <w:rsid w:val="000A76DA"/>
    <w:rsid w:val="000B05A5"/>
    <w:rsid w:val="000B120A"/>
    <w:rsid w:val="000B264A"/>
    <w:rsid w:val="000B27A9"/>
    <w:rsid w:val="000B44B5"/>
    <w:rsid w:val="000B566A"/>
    <w:rsid w:val="000B64ED"/>
    <w:rsid w:val="000C074F"/>
    <w:rsid w:val="000C370B"/>
    <w:rsid w:val="000C3837"/>
    <w:rsid w:val="000D2B14"/>
    <w:rsid w:val="000D3A08"/>
    <w:rsid w:val="000D528B"/>
    <w:rsid w:val="000E1C68"/>
    <w:rsid w:val="000E7291"/>
    <w:rsid w:val="000F32AE"/>
    <w:rsid w:val="000F451C"/>
    <w:rsid w:val="000F59D1"/>
    <w:rsid w:val="00103C64"/>
    <w:rsid w:val="00103D0B"/>
    <w:rsid w:val="0010567D"/>
    <w:rsid w:val="00105ECE"/>
    <w:rsid w:val="0010719E"/>
    <w:rsid w:val="001119AF"/>
    <w:rsid w:val="00114215"/>
    <w:rsid w:val="0011715B"/>
    <w:rsid w:val="00120E79"/>
    <w:rsid w:val="00121BBF"/>
    <w:rsid w:val="0012445B"/>
    <w:rsid w:val="00124D18"/>
    <w:rsid w:val="00125D09"/>
    <w:rsid w:val="00133529"/>
    <w:rsid w:val="001346F6"/>
    <w:rsid w:val="001458EE"/>
    <w:rsid w:val="00146FF4"/>
    <w:rsid w:val="001531CD"/>
    <w:rsid w:val="00153E66"/>
    <w:rsid w:val="001541E1"/>
    <w:rsid w:val="00155A00"/>
    <w:rsid w:val="00164F97"/>
    <w:rsid w:val="00167C7E"/>
    <w:rsid w:val="001715B3"/>
    <w:rsid w:val="00182C96"/>
    <w:rsid w:val="001870B2"/>
    <w:rsid w:val="001933EF"/>
    <w:rsid w:val="001938EB"/>
    <w:rsid w:val="001A0FFC"/>
    <w:rsid w:val="001A1F7D"/>
    <w:rsid w:val="001A2A79"/>
    <w:rsid w:val="001A4F85"/>
    <w:rsid w:val="001A56F3"/>
    <w:rsid w:val="001A78E6"/>
    <w:rsid w:val="001B10C7"/>
    <w:rsid w:val="001B123A"/>
    <w:rsid w:val="001B5CE9"/>
    <w:rsid w:val="001C3399"/>
    <w:rsid w:val="001C5061"/>
    <w:rsid w:val="001C5911"/>
    <w:rsid w:val="001C7C34"/>
    <w:rsid w:val="001D011E"/>
    <w:rsid w:val="001D2D1D"/>
    <w:rsid w:val="001D5B7A"/>
    <w:rsid w:val="001D609A"/>
    <w:rsid w:val="001E0B10"/>
    <w:rsid w:val="001E233C"/>
    <w:rsid w:val="001E3AF7"/>
    <w:rsid w:val="001E4A60"/>
    <w:rsid w:val="001E4C2D"/>
    <w:rsid w:val="001E78C5"/>
    <w:rsid w:val="001F1C23"/>
    <w:rsid w:val="001F5573"/>
    <w:rsid w:val="001F5DE9"/>
    <w:rsid w:val="0020760C"/>
    <w:rsid w:val="0022173C"/>
    <w:rsid w:val="00226EED"/>
    <w:rsid w:val="00236336"/>
    <w:rsid w:val="0023656E"/>
    <w:rsid w:val="002419C5"/>
    <w:rsid w:val="00246B4B"/>
    <w:rsid w:val="00260693"/>
    <w:rsid w:val="00261867"/>
    <w:rsid w:val="00262FC9"/>
    <w:rsid w:val="00263C21"/>
    <w:rsid w:val="00271C6C"/>
    <w:rsid w:val="00272591"/>
    <w:rsid w:val="00272B36"/>
    <w:rsid w:val="00275090"/>
    <w:rsid w:val="00284C59"/>
    <w:rsid w:val="002865F5"/>
    <w:rsid w:val="00286FD9"/>
    <w:rsid w:val="00287068"/>
    <w:rsid w:val="00290CD1"/>
    <w:rsid w:val="002A1AB8"/>
    <w:rsid w:val="002A2668"/>
    <w:rsid w:val="002B14C2"/>
    <w:rsid w:val="002B5E5A"/>
    <w:rsid w:val="002B76F8"/>
    <w:rsid w:val="002B7E23"/>
    <w:rsid w:val="002C18D6"/>
    <w:rsid w:val="002C218F"/>
    <w:rsid w:val="002C234E"/>
    <w:rsid w:val="002C58A2"/>
    <w:rsid w:val="002C655D"/>
    <w:rsid w:val="002C7DCB"/>
    <w:rsid w:val="002D00BC"/>
    <w:rsid w:val="002D1137"/>
    <w:rsid w:val="002D28F0"/>
    <w:rsid w:val="002E45F4"/>
    <w:rsid w:val="002F0C0F"/>
    <w:rsid w:val="002F1F9D"/>
    <w:rsid w:val="002F5F9A"/>
    <w:rsid w:val="003000A7"/>
    <w:rsid w:val="00300F63"/>
    <w:rsid w:val="0030174F"/>
    <w:rsid w:val="00303803"/>
    <w:rsid w:val="00305FDC"/>
    <w:rsid w:val="003070CF"/>
    <w:rsid w:val="003077AF"/>
    <w:rsid w:val="003114E7"/>
    <w:rsid w:val="00315811"/>
    <w:rsid w:val="003164DE"/>
    <w:rsid w:val="0031689A"/>
    <w:rsid w:val="00320283"/>
    <w:rsid w:val="0032357E"/>
    <w:rsid w:val="00323D08"/>
    <w:rsid w:val="00323FBD"/>
    <w:rsid w:val="00324CB2"/>
    <w:rsid w:val="00325D7D"/>
    <w:rsid w:val="00335D70"/>
    <w:rsid w:val="00336733"/>
    <w:rsid w:val="0034428E"/>
    <w:rsid w:val="00345054"/>
    <w:rsid w:val="0035269C"/>
    <w:rsid w:val="00355EEE"/>
    <w:rsid w:val="003610B3"/>
    <w:rsid w:val="003631E1"/>
    <w:rsid w:val="00367D9D"/>
    <w:rsid w:val="0037483F"/>
    <w:rsid w:val="00380007"/>
    <w:rsid w:val="00380B4C"/>
    <w:rsid w:val="003A4D1E"/>
    <w:rsid w:val="003A74B8"/>
    <w:rsid w:val="003B03DA"/>
    <w:rsid w:val="003B15C5"/>
    <w:rsid w:val="003B3AB2"/>
    <w:rsid w:val="003B43E9"/>
    <w:rsid w:val="003C2386"/>
    <w:rsid w:val="003C6963"/>
    <w:rsid w:val="003C739E"/>
    <w:rsid w:val="003C7E04"/>
    <w:rsid w:val="003D3486"/>
    <w:rsid w:val="003D3701"/>
    <w:rsid w:val="003E07CB"/>
    <w:rsid w:val="003E2698"/>
    <w:rsid w:val="003E3CB4"/>
    <w:rsid w:val="003E44B3"/>
    <w:rsid w:val="003F1A92"/>
    <w:rsid w:val="003F568A"/>
    <w:rsid w:val="003F5772"/>
    <w:rsid w:val="00400B86"/>
    <w:rsid w:val="00407C3D"/>
    <w:rsid w:val="004102A8"/>
    <w:rsid w:val="00410905"/>
    <w:rsid w:val="004112BA"/>
    <w:rsid w:val="0041177D"/>
    <w:rsid w:val="0042296F"/>
    <w:rsid w:val="004238D0"/>
    <w:rsid w:val="00425D61"/>
    <w:rsid w:val="004266D4"/>
    <w:rsid w:val="00430404"/>
    <w:rsid w:val="004306CB"/>
    <w:rsid w:val="0043082A"/>
    <w:rsid w:val="004342CA"/>
    <w:rsid w:val="00442534"/>
    <w:rsid w:val="00442AAD"/>
    <w:rsid w:val="00442DF3"/>
    <w:rsid w:val="00446110"/>
    <w:rsid w:val="00446AA5"/>
    <w:rsid w:val="00446C6F"/>
    <w:rsid w:val="0045007A"/>
    <w:rsid w:val="00452554"/>
    <w:rsid w:val="00452CC7"/>
    <w:rsid w:val="00462DE0"/>
    <w:rsid w:val="0046351D"/>
    <w:rsid w:val="00467A67"/>
    <w:rsid w:val="00471521"/>
    <w:rsid w:val="004719A9"/>
    <w:rsid w:val="00474A16"/>
    <w:rsid w:val="00474F64"/>
    <w:rsid w:val="00482C38"/>
    <w:rsid w:val="004842B8"/>
    <w:rsid w:val="0048459B"/>
    <w:rsid w:val="004930D4"/>
    <w:rsid w:val="00495B1A"/>
    <w:rsid w:val="004A00AD"/>
    <w:rsid w:val="004A366F"/>
    <w:rsid w:val="004B0F08"/>
    <w:rsid w:val="004B1016"/>
    <w:rsid w:val="004B12A7"/>
    <w:rsid w:val="004B190F"/>
    <w:rsid w:val="004B5478"/>
    <w:rsid w:val="004C1627"/>
    <w:rsid w:val="004C1A9D"/>
    <w:rsid w:val="004C3F5C"/>
    <w:rsid w:val="004C5D8E"/>
    <w:rsid w:val="004D1663"/>
    <w:rsid w:val="004D348A"/>
    <w:rsid w:val="004D7D46"/>
    <w:rsid w:val="004E09F9"/>
    <w:rsid w:val="004E0A36"/>
    <w:rsid w:val="004E1782"/>
    <w:rsid w:val="004F1003"/>
    <w:rsid w:val="004F46C7"/>
    <w:rsid w:val="004F6EC7"/>
    <w:rsid w:val="00500697"/>
    <w:rsid w:val="005038FB"/>
    <w:rsid w:val="005053CB"/>
    <w:rsid w:val="005108BB"/>
    <w:rsid w:val="00514209"/>
    <w:rsid w:val="005152DA"/>
    <w:rsid w:val="00520EF0"/>
    <w:rsid w:val="00530117"/>
    <w:rsid w:val="00531CCA"/>
    <w:rsid w:val="0053410D"/>
    <w:rsid w:val="00535352"/>
    <w:rsid w:val="005430F4"/>
    <w:rsid w:val="0054508A"/>
    <w:rsid w:val="0054690D"/>
    <w:rsid w:val="005472E0"/>
    <w:rsid w:val="00547731"/>
    <w:rsid w:val="00551FAD"/>
    <w:rsid w:val="00552554"/>
    <w:rsid w:val="00552A91"/>
    <w:rsid w:val="0055509A"/>
    <w:rsid w:val="00556806"/>
    <w:rsid w:val="00563E1D"/>
    <w:rsid w:val="00565BFB"/>
    <w:rsid w:val="0057420B"/>
    <w:rsid w:val="0057493D"/>
    <w:rsid w:val="0057643D"/>
    <w:rsid w:val="00576871"/>
    <w:rsid w:val="00577F83"/>
    <w:rsid w:val="00580827"/>
    <w:rsid w:val="00583FB5"/>
    <w:rsid w:val="00593715"/>
    <w:rsid w:val="00594316"/>
    <w:rsid w:val="005948F0"/>
    <w:rsid w:val="00594D72"/>
    <w:rsid w:val="00597CD6"/>
    <w:rsid w:val="005A0434"/>
    <w:rsid w:val="005A04DB"/>
    <w:rsid w:val="005A11CD"/>
    <w:rsid w:val="005A12D8"/>
    <w:rsid w:val="005A1541"/>
    <w:rsid w:val="005A1CDA"/>
    <w:rsid w:val="005A53E4"/>
    <w:rsid w:val="005B087B"/>
    <w:rsid w:val="005B23E4"/>
    <w:rsid w:val="005B2F06"/>
    <w:rsid w:val="005B37E6"/>
    <w:rsid w:val="005B535C"/>
    <w:rsid w:val="005C1E7F"/>
    <w:rsid w:val="005C7ABA"/>
    <w:rsid w:val="005D1D51"/>
    <w:rsid w:val="005D3CA9"/>
    <w:rsid w:val="005D45BC"/>
    <w:rsid w:val="005E16C4"/>
    <w:rsid w:val="005E2A44"/>
    <w:rsid w:val="005E4B40"/>
    <w:rsid w:val="005E4D18"/>
    <w:rsid w:val="005E6495"/>
    <w:rsid w:val="005E6DC5"/>
    <w:rsid w:val="005F29C7"/>
    <w:rsid w:val="005F6626"/>
    <w:rsid w:val="005F6EAB"/>
    <w:rsid w:val="005F757B"/>
    <w:rsid w:val="00601B13"/>
    <w:rsid w:val="0060239A"/>
    <w:rsid w:val="006026C8"/>
    <w:rsid w:val="006066D1"/>
    <w:rsid w:val="00613F24"/>
    <w:rsid w:val="006158FD"/>
    <w:rsid w:val="00616052"/>
    <w:rsid w:val="00620600"/>
    <w:rsid w:val="0062155C"/>
    <w:rsid w:val="006217BE"/>
    <w:rsid w:val="00623028"/>
    <w:rsid w:val="00627251"/>
    <w:rsid w:val="00630A13"/>
    <w:rsid w:val="00635B8D"/>
    <w:rsid w:val="00636B12"/>
    <w:rsid w:val="00642EC4"/>
    <w:rsid w:val="00643130"/>
    <w:rsid w:val="006447D5"/>
    <w:rsid w:val="00645090"/>
    <w:rsid w:val="0065034D"/>
    <w:rsid w:val="00655B9C"/>
    <w:rsid w:val="00661190"/>
    <w:rsid w:val="0066153D"/>
    <w:rsid w:val="00661723"/>
    <w:rsid w:val="00661C6A"/>
    <w:rsid w:val="0066637B"/>
    <w:rsid w:val="006703ED"/>
    <w:rsid w:val="0068211A"/>
    <w:rsid w:val="00691C0A"/>
    <w:rsid w:val="00692FB9"/>
    <w:rsid w:val="00694BB1"/>
    <w:rsid w:val="0069549B"/>
    <w:rsid w:val="00695F80"/>
    <w:rsid w:val="0069793F"/>
    <w:rsid w:val="00697D99"/>
    <w:rsid w:val="006A052E"/>
    <w:rsid w:val="006A1711"/>
    <w:rsid w:val="006A65C4"/>
    <w:rsid w:val="006B0D98"/>
    <w:rsid w:val="006B1D5D"/>
    <w:rsid w:val="006B25D6"/>
    <w:rsid w:val="006B2837"/>
    <w:rsid w:val="006B3849"/>
    <w:rsid w:val="006B5528"/>
    <w:rsid w:val="006B63CB"/>
    <w:rsid w:val="006B6F8B"/>
    <w:rsid w:val="006C01C3"/>
    <w:rsid w:val="006C2EB9"/>
    <w:rsid w:val="006C3861"/>
    <w:rsid w:val="006C6F4D"/>
    <w:rsid w:val="006D2C84"/>
    <w:rsid w:val="006D2D44"/>
    <w:rsid w:val="006D32BD"/>
    <w:rsid w:val="006D4697"/>
    <w:rsid w:val="006D4D99"/>
    <w:rsid w:val="006D5012"/>
    <w:rsid w:val="006E0343"/>
    <w:rsid w:val="006E50FE"/>
    <w:rsid w:val="006F3913"/>
    <w:rsid w:val="006F4F25"/>
    <w:rsid w:val="006F57B6"/>
    <w:rsid w:val="007103C8"/>
    <w:rsid w:val="0071098D"/>
    <w:rsid w:val="00711515"/>
    <w:rsid w:val="007132D6"/>
    <w:rsid w:val="00713A75"/>
    <w:rsid w:val="007147C4"/>
    <w:rsid w:val="007152CB"/>
    <w:rsid w:val="00715765"/>
    <w:rsid w:val="00715EC0"/>
    <w:rsid w:val="0071623E"/>
    <w:rsid w:val="007247DE"/>
    <w:rsid w:val="00726442"/>
    <w:rsid w:val="00730A98"/>
    <w:rsid w:val="00735A71"/>
    <w:rsid w:val="0073682C"/>
    <w:rsid w:val="007404F0"/>
    <w:rsid w:val="00741D64"/>
    <w:rsid w:val="00742505"/>
    <w:rsid w:val="007509FA"/>
    <w:rsid w:val="00752B56"/>
    <w:rsid w:val="007568D5"/>
    <w:rsid w:val="00757682"/>
    <w:rsid w:val="00757A71"/>
    <w:rsid w:val="00757E2F"/>
    <w:rsid w:val="00760245"/>
    <w:rsid w:val="00765F37"/>
    <w:rsid w:val="00766409"/>
    <w:rsid w:val="00767BBD"/>
    <w:rsid w:val="00767EA5"/>
    <w:rsid w:val="007700DD"/>
    <w:rsid w:val="0077796D"/>
    <w:rsid w:val="00777C8D"/>
    <w:rsid w:val="007802D7"/>
    <w:rsid w:val="007841FE"/>
    <w:rsid w:val="00794332"/>
    <w:rsid w:val="007950BD"/>
    <w:rsid w:val="007969E1"/>
    <w:rsid w:val="00796C26"/>
    <w:rsid w:val="00797EE3"/>
    <w:rsid w:val="007A1A7B"/>
    <w:rsid w:val="007B1755"/>
    <w:rsid w:val="007B5328"/>
    <w:rsid w:val="007B6101"/>
    <w:rsid w:val="007C387F"/>
    <w:rsid w:val="007C4B11"/>
    <w:rsid w:val="007D0ABA"/>
    <w:rsid w:val="007D5757"/>
    <w:rsid w:val="007D779B"/>
    <w:rsid w:val="007E0464"/>
    <w:rsid w:val="007E0775"/>
    <w:rsid w:val="007E2430"/>
    <w:rsid w:val="007E2511"/>
    <w:rsid w:val="007E447D"/>
    <w:rsid w:val="007F2450"/>
    <w:rsid w:val="007F5864"/>
    <w:rsid w:val="007F5D78"/>
    <w:rsid w:val="007F7CE4"/>
    <w:rsid w:val="008030BA"/>
    <w:rsid w:val="00807733"/>
    <w:rsid w:val="00813C2D"/>
    <w:rsid w:val="0081600B"/>
    <w:rsid w:val="0082093E"/>
    <w:rsid w:val="00822B12"/>
    <w:rsid w:val="00823B6F"/>
    <w:rsid w:val="00824291"/>
    <w:rsid w:val="008267CE"/>
    <w:rsid w:val="00830C09"/>
    <w:rsid w:val="00833201"/>
    <w:rsid w:val="00833F24"/>
    <w:rsid w:val="008369E9"/>
    <w:rsid w:val="00840700"/>
    <w:rsid w:val="00840807"/>
    <w:rsid w:val="00844180"/>
    <w:rsid w:val="0085046B"/>
    <w:rsid w:val="00850AD5"/>
    <w:rsid w:val="008535DD"/>
    <w:rsid w:val="00855C12"/>
    <w:rsid w:val="00855DAE"/>
    <w:rsid w:val="008571A7"/>
    <w:rsid w:val="008649FC"/>
    <w:rsid w:val="008733E5"/>
    <w:rsid w:val="00874AA9"/>
    <w:rsid w:val="00877CD2"/>
    <w:rsid w:val="00880BC2"/>
    <w:rsid w:val="00882435"/>
    <w:rsid w:val="0088266C"/>
    <w:rsid w:val="008827A6"/>
    <w:rsid w:val="00890303"/>
    <w:rsid w:val="00895A28"/>
    <w:rsid w:val="008A1FAD"/>
    <w:rsid w:val="008A54BA"/>
    <w:rsid w:val="008A62F6"/>
    <w:rsid w:val="008B0739"/>
    <w:rsid w:val="008C0622"/>
    <w:rsid w:val="008C193B"/>
    <w:rsid w:val="008C1EE2"/>
    <w:rsid w:val="008C4EA2"/>
    <w:rsid w:val="008C5FD5"/>
    <w:rsid w:val="008C6727"/>
    <w:rsid w:val="008C6EA9"/>
    <w:rsid w:val="008D080C"/>
    <w:rsid w:val="008E0DEA"/>
    <w:rsid w:val="008E1AC7"/>
    <w:rsid w:val="008E56ED"/>
    <w:rsid w:val="008E6AD2"/>
    <w:rsid w:val="008E713A"/>
    <w:rsid w:val="008F0996"/>
    <w:rsid w:val="008F1175"/>
    <w:rsid w:val="008F5BED"/>
    <w:rsid w:val="0090289A"/>
    <w:rsid w:val="00904CEB"/>
    <w:rsid w:val="009070A9"/>
    <w:rsid w:val="00907436"/>
    <w:rsid w:val="00914591"/>
    <w:rsid w:val="0092190C"/>
    <w:rsid w:val="0092290B"/>
    <w:rsid w:val="009254F9"/>
    <w:rsid w:val="009259BF"/>
    <w:rsid w:val="0092799F"/>
    <w:rsid w:val="0093067C"/>
    <w:rsid w:val="00933034"/>
    <w:rsid w:val="009421BB"/>
    <w:rsid w:val="009431D7"/>
    <w:rsid w:val="0094763B"/>
    <w:rsid w:val="009504C2"/>
    <w:rsid w:val="00950670"/>
    <w:rsid w:val="00950B71"/>
    <w:rsid w:val="00952C0C"/>
    <w:rsid w:val="0095396C"/>
    <w:rsid w:val="00955DE1"/>
    <w:rsid w:val="00960B3A"/>
    <w:rsid w:val="00967959"/>
    <w:rsid w:val="00970B8F"/>
    <w:rsid w:val="00970E84"/>
    <w:rsid w:val="00972F8E"/>
    <w:rsid w:val="00974593"/>
    <w:rsid w:val="0097718B"/>
    <w:rsid w:val="00984BE1"/>
    <w:rsid w:val="00995D16"/>
    <w:rsid w:val="00997F91"/>
    <w:rsid w:val="009A1336"/>
    <w:rsid w:val="009A1983"/>
    <w:rsid w:val="009A41FD"/>
    <w:rsid w:val="009A72C6"/>
    <w:rsid w:val="009A7472"/>
    <w:rsid w:val="009A7E35"/>
    <w:rsid w:val="009B18E3"/>
    <w:rsid w:val="009B218D"/>
    <w:rsid w:val="009B3000"/>
    <w:rsid w:val="009B337B"/>
    <w:rsid w:val="009B4E80"/>
    <w:rsid w:val="009C4A86"/>
    <w:rsid w:val="009C645C"/>
    <w:rsid w:val="009D3214"/>
    <w:rsid w:val="009D3438"/>
    <w:rsid w:val="009D4274"/>
    <w:rsid w:val="009D58A8"/>
    <w:rsid w:val="009E05FE"/>
    <w:rsid w:val="009E07CF"/>
    <w:rsid w:val="009E3240"/>
    <w:rsid w:val="009E3CF0"/>
    <w:rsid w:val="009E569B"/>
    <w:rsid w:val="009E595E"/>
    <w:rsid w:val="009E6F89"/>
    <w:rsid w:val="009F10F3"/>
    <w:rsid w:val="009F17BD"/>
    <w:rsid w:val="009F485F"/>
    <w:rsid w:val="009F4FF4"/>
    <w:rsid w:val="009F57AB"/>
    <w:rsid w:val="00A013BD"/>
    <w:rsid w:val="00A03772"/>
    <w:rsid w:val="00A053C6"/>
    <w:rsid w:val="00A146E9"/>
    <w:rsid w:val="00A14EB2"/>
    <w:rsid w:val="00A16FD3"/>
    <w:rsid w:val="00A17F4A"/>
    <w:rsid w:val="00A20927"/>
    <w:rsid w:val="00A2412C"/>
    <w:rsid w:val="00A33F00"/>
    <w:rsid w:val="00A354C9"/>
    <w:rsid w:val="00A40835"/>
    <w:rsid w:val="00A4192E"/>
    <w:rsid w:val="00A4197D"/>
    <w:rsid w:val="00A434B1"/>
    <w:rsid w:val="00A45701"/>
    <w:rsid w:val="00A5661E"/>
    <w:rsid w:val="00A56F24"/>
    <w:rsid w:val="00A57525"/>
    <w:rsid w:val="00A577ED"/>
    <w:rsid w:val="00A614A0"/>
    <w:rsid w:val="00A617B6"/>
    <w:rsid w:val="00A63F29"/>
    <w:rsid w:val="00A65250"/>
    <w:rsid w:val="00A656EA"/>
    <w:rsid w:val="00A70B12"/>
    <w:rsid w:val="00A724A7"/>
    <w:rsid w:val="00A75DFB"/>
    <w:rsid w:val="00A75E00"/>
    <w:rsid w:val="00A768AA"/>
    <w:rsid w:val="00A81C57"/>
    <w:rsid w:val="00A86C4A"/>
    <w:rsid w:val="00A92345"/>
    <w:rsid w:val="00A92B9E"/>
    <w:rsid w:val="00A93143"/>
    <w:rsid w:val="00A94323"/>
    <w:rsid w:val="00A97A40"/>
    <w:rsid w:val="00AA0FA9"/>
    <w:rsid w:val="00AA5BDE"/>
    <w:rsid w:val="00AA5DAE"/>
    <w:rsid w:val="00AB0107"/>
    <w:rsid w:val="00AB01F9"/>
    <w:rsid w:val="00AB44A2"/>
    <w:rsid w:val="00AB6EBF"/>
    <w:rsid w:val="00AC1C85"/>
    <w:rsid w:val="00AC79F2"/>
    <w:rsid w:val="00AD01C7"/>
    <w:rsid w:val="00AD1DF3"/>
    <w:rsid w:val="00AD2F56"/>
    <w:rsid w:val="00AE0D1B"/>
    <w:rsid w:val="00AE1858"/>
    <w:rsid w:val="00AE6085"/>
    <w:rsid w:val="00AE6271"/>
    <w:rsid w:val="00AE6985"/>
    <w:rsid w:val="00AF0CB5"/>
    <w:rsid w:val="00B01B94"/>
    <w:rsid w:val="00B02E2C"/>
    <w:rsid w:val="00B0575A"/>
    <w:rsid w:val="00B15476"/>
    <w:rsid w:val="00B15690"/>
    <w:rsid w:val="00B163FD"/>
    <w:rsid w:val="00B23CEA"/>
    <w:rsid w:val="00B24111"/>
    <w:rsid w:val="00B26782"/>
    <w:rsid w:val="00B26FFA"/>
    <w:rsid w:val="00B31650"/>
    <w:rsid w:val="00B32C6B"/>
    <w:rsid w:val="00B333E6"/>
    <w:rsid w:val="00B36D2E"/>
    <w:rsid w:val="00B446EF"/>
    <w:rsid w:val="00B46E90"/>
    <w:rsid w:val="00B52CD6"/>
    <w:rsid w:val="00B543AF"/>
    <w:rsid w:val="00B56290"/>
    <w:rsid w:val="00B57F48"/>
    <w:rsid w:val="00B6063C"/>
    <w:rsid w:val="00B61868"/>
    <w:rsid w:val="00B62E9A"/>
    <w:rsid w:val="00B62EBC"/>
    <w:rsid w:val="00B63652"/>
    <w:rsid w:val="00B71D23"/>
    <w:rsid w:val="00B72706"/>
    <w:rsid w:val="00B73F59"/>
    <w:rsid w:val="00B76AA1"/>
    <w:rsid w:val="00B773DF"/>
    <w:rsid w:val="00B823FB"/>
    <w:rsid w:val="00B9047A"/>
    <w:rsid w:val="00B91494"/>
    <w:rsid w:val="00BA0DA4"/>
    <w:rsid w:val="00BA117D"/>
    <w:rsid w:val="00BA4650"/>
    <w:rsid w:val="00BA5B1B"/>
    <w:rsid w:val="00BB4720"/>
    <w:rsid w:val="00BC035B"/>
    <w:rsid w:val="00BC0D7C"/>
    <w:rsid w:val="00BC570A"/>
    <w:rsid w:val="00BC6AF8"/>
    <w:rsid w:val="00BD08AF"/>
    <w:rsid w:val="00BD0CCD"/>
    <w:rsid w:val="00BD19D9"/>
    <w:rsid w:val="00BD62D6"/>
    <w:rsid w:val="00BE5E93"/>
    <w:rsid w:val="00BE7310"/>
    <w:rsid w:val="00BF77B0"/>
    <w:rsid w:val="00C00C30"/>
    <w:rsid w:val="00C00EB8"/>
    <w:rsid w:val="00C04355"/>
    <w:rsid w:val="00C05C07"/>
    <w:rsid w:val="00C11F65"/>
    <w:rsid w:val="00C125B0"/>
    <w:rsid w:val="00C20BAF"/>
    <w:rsid w:val="00C20BDC"/>
    <w:rsid w:val="00C2230F"/>
    <w:rsid w:val="00C32394"/>
    <w:rsid w:val="00C334E6"/>
    <w:rsid w:val="00C356D7"/>
    <w:rsid w:val="00C35D26"/>
    <w:rsid w:val="00C42448"/>
    <w:rsid w:val="00C451FF"/>
    <w:rsid w:val="00C45AB5"/>
    <w:rsid w:val="00C45D94"/>
    <w:rsid w:val="00C462F0"/>
    <w:rsid w:val="00C463BF"/>
    <w:rsid w:val="00C507E0"/>
    <w:rsid w:val="00C52739"/>
    <w:rsid w:val="00C54306"/>
    <w:rsid w:val="00C56448"/>
    <w:rsid w:val="00C6088B"/>
    <w:rsid w:val="00C609C5"/>
    <w:rsid w:val="00C61FFF"/>
    <w:rsid w:val="00C64898"/>
    <w:rsid w:val="00C7240E"/>
    <w:rsid w:val="00C75FF6"/>
    <w:rsid w:val="00C77B29"/>
    <w:rsid w:val="00C90EB9"/>
    <w:rsid w:val="00C95C83"/>
    <w:rsid w:val="00C9774F"/>
    <w:rsid w:val="00CA0B52"/>
    <w:rsid w:val="00CA390B"/>
    <w:rsid w:val="00CA5979"/>
    <w:rsid w:val="00CA7DE9"/>
    <w:rsid w:val="00CB28D6"/>
    <w:rsid w:val="00CB2C61"/>
    <w:rsid w:val="00CB55BC"/>
    <w:rsid w:val="00CC1693"/>
    <w:rsid w:val="00CC2BCB"/>
    <w:rsid w:val="00CC2CB5"/>
    <w:rsid w:val="00CD288D"/>
    <w:rsid w:val="00CD4E8B"/>
    <w:rsid w:val="00CD5BAB"/>
    <w:rsid w:val="00CD6792"/>
    <w:rsid w:val="00CD7B71"/>
    <w:rsid w:val="00CE3D2E"/>
    <w:rsid w:val="00CE5BB7"/>
    <w:rsid w:val="00CF0355"/>
    <w:rsid w:val="00CF23D2"/>
    <w:rsid w:val="00CF2C3E"/>
    <w:rsid w:val="00CF497D"/>
    <w:rsid w:val="00CF72B8"/>
    <w:rsid w:val="00CF7E64"/>
    <w:rsid w:val="00D13BE2"/>
    <w:rsid w:val="00D2053B"/>
    <w:rsid w:val="00D23128"/>
    <w:rsid w:val="00D27C9D"/>
    <w:rsid w:val="00D42488"/>
    <w:rsid w:val="00D44FD7"/>
    <w:rsid w:val="00D45839"/>
    <w:rsid w:val="00D4599C"/>
    <w:rsid w:val="00D45F02"/>
    <w:rsid w:val="00D53999"/>
    <w:rsid w:val="00D559F7"/>
    <w:rsid w:val="00D56118"/>
    <w:rsid w:val="00D634BB"/>
    <w:rsid w:val="00D65A31"/>
    <w:rsid w:val="00D67DBC"/>
    <w:rsid w:val="00D72973"/>
    <w:rsid w:val="00D80129"/>
    <w:rsid w:val="00D82B9C"/>
    <w:rsid w:val="00D8505E"/>
    <w:rsid w:val="00D8511B"/>
    <w:rsid w:val="00D85EA7"/>
    <w:rsid w:val="00D86E97"/>
    <w:rsid w:val="00D910D1"/>
    <w:rsid w:val="00D9148A"/>
    <w:rsid w:val="00D91ACF"/>
    <w:rsid w:val="00D92E73"/>
    <w:rsid w:val="00DA09D9"/>
    <w:rsid w:val="00DA39AA"/>
    <w:rsid w:val="00DA44D7"/>
    <w:rsid w:val="00DA55D0"/>
    <w:rsid w:val="00DB01D9"/>
    <w:rsid w:val="00DB2310"/>
    <w:rsid w:val="00DB2B8C"/>
    <w:rsid w:val="00DB543E"/>
    <w:rsid w:val="00DC2462"/>
    <w:rsid w:val="00DC77EE"/>
    <w:rsid w:val="00DD0B0E"/>
    <w:rsid w:val="00DD115E"/>
    <w:rsid w:val="00DD289E"/>
    <w:rsid w:val="00DD42D2"/>
    <w:rsid w:val="00DD61B9"/>
    <w:rsid w:val="00DF674C"/>
    <w:rsid w:val="00DF79CF"/>
    <w:rsid w:val="00DF7AC6"/>
    <w:rsid w:val="00E01D21"/>
    <w:rsid w:val="00E05513"/>
    <w:rsid w:val="00E07189"/>
    <w:rsid w:val="00E10305"/>
    <w:rsid w:val="00E11A06"/>
    <w:rsid w:val="00E11F31"/>
    <w:rsid w:val="00E125FA"/>
    <w:rsid w:val="00E14D60"/>
    <w:rsid w:val="00E23C75"/>
    <w:rsid w:val="00E27131"/>
    <w:rsid w:val="00E27CD8"/>
    <w:rsid w:val="00E31FD7"/>
    <w:rsid w:val="00E3455F"/>
    <w:rsid w:val="00E36147"/>
    <w:rsid w:val="00E42615"/>
    <w:rsid w:val="00E426FC"/>
    <w:rsid w:val="00E42F30"/>
    <w:rsid w:val="00E43821"/>
    <w:rsid w:val="00E44AD1"/>
    <w:rsid w:val="00E47897"/>
    <w:rsid w:val="00E53062"/>
    <w:rsid w:val="00E55D8F"/>
    <w:rsid w:val="00E66352"/>
    <w:rsid w:val="00E6716A"/>
    <w:rsid w:val="00E67864"/>
    <w:rsid w:val="00E70E68"/>
    <w:rsid w:val="00E73DB9"/>
    <w:rsid w:val="00E74BF7"/>
    <w:rsid w:val="00E77219"/>
    <w:rsid w:val="00E80DAA"/>
    <w:rsid w:val="00E8273F"/>
    <w:rsid w:val="00E82F00"/>
    <w:rsid w:val="00E91756"/>
    <w:rsid w:val="00E96602"/>
    <w:rsid w:val="00EA54E6"/>
    <w:rsid w:val="00EA6C2C"/>
    <w:rsid w:val="00EA6E8A"/>
    <w:rsid w:val="00EB098B"/>
    <w:rsid w:val="00EB2A92"/>
    <w:rsid w:val="00EC07D6"/>
    <w:rsid w:val="00EC271D"/>
    <w:rsid w:val="00EC6335"/>
    <w:rsid w:val="00ED0244"/>
    <w:rsid w:val="00ED12DB"/>
    <w:rsid w:val="00ED3DDC"/>
    <w:rsid w:val="00EE2E11"/>
    <w:rsid w:val="00EE5BA1"/>
    <w:rsid w:val="00EE71C6"/>
    <w:rsid w:val="00EF1E0E"/>
    <w:rsid w:val="00EF26BC"/>
    <w:rsid w:val="00EF478F"/>
    <w:rsid w:val="00F007E1"/>
    <w:rsid w:val="00F02228"/>
    <w:rsid w:val="00F033C1"/>
    <w:rsid w:val="00F04276"/>
    <w:rsid w:val="00F11702"/>
    <w:rsid w:val="00F119E0"/>
    <w:rsid w:val="00F12522"/>
    <w:rsid w:val="00F1566E"/>
    <w:rsid w:val="00F17647"/>
    <w:rsid w:val="00F217EE"/>
    <w:rsid w:val="00F27D5C"/>
    <w:rsid w:val="00F31946"/>
    <w:rsid w:val="00F33616"/>
    <w:rsid w:val="00F367A3"/>
    <w:rsid w:val="00F42FD2"/>
    <w:rsid w:val="00F47987"/>
    <w:rsid w:val="00F47BE9"/>
    <w:rsid w:val="00F507CD"/>
    <w:rsid w:val="00F52B8F"/>
    <w:rsid w:val="00F53674"/>
    <w:rsid w:val="00F55952"/>
    <w:rsid w:val="00F562CF"/>
    <w:rsid w:val="00F61F79"/>
    <w:rsid w:val="00F627E6"/>
    <w:rsid w:val="00F62E7A"/>
    <w:rsid w:val="00F64BB0"/>
    <w:rsid w:val="00F66347"/>
    <w:rsid w:val="00F66898"/>
    <w:rsid w:val="00F739CA"/>
    <w:rsid w:val="00F86544"/>
    <w:rsid w:val="00F91E6B"/>
    <w:rsid w:val="00F933FC"/>
    <w:rsid w:val="00F94607"/>
    <w:rsid w:val="00FA120F"/>
    <w:rsid w:val="00FA23DB"/>
    <w:rsid w:val="00FB023C"/>
    <w:rsid w:val="00FB26C7"/>
    <w:rsid w:val="00FB3498"/>
    <w:rsid w:val="00FB37D3"/>
    <w:rsid w:val="00FB3CF3"/>
    <w:rsid w:val="00FB57BD"/>
    <w:rsid w:val="00FC01F5"/>
    <w:rsid w:val="00FC5F72"/>
    <w:rsid w:val="00FE046D"/>
    <w:rsid w:val="00FE337A"/>
    <w:rsid w:val="00FE3FC8"/>
    <w:rsid w:val="00FE4D88"/>
    <w:rsid w:val="00FF00E2"/>
    <w:rsid w:val="00FF02B3"/>
    <w:rsid w:val="00FF056E"/>
    <w:rsid w:val="00FF2D62"/>
    <w:rsid w:val="00FF78B2"/>
    <w:rsid w:val="034B9930"/>
    <w:rsid w:val="03F7C487"/>
    <w:rsid w:val="04680A1E"/>
    <w:rsid w:val="048EEB65"/>
    <w:rsid w:val="0496B398"/>
    <w:rsid w:val="05F05E5F"/>
    <w:rsid w:val="0660D55F"/>
    <w:rsid w:val="079F6AE5"/>
    <w:rsid w:val="07CF779A"/>
    <w:rsid w:val="07FE8EE3"/>
    <w:rsid w:val="0879DE95"/>
    <w:rsid w:val="0950E6AC"/>
    <w:rsid w:val="0981CDD3"/>
    <w:rsid w:val="0AC22D4D"/>
    <w:rsid w:val="0E8B4514"/>
    <w:rsid w:val="0FA52A9D"/>
    <w:rsid w:val="10093D76"/>
    <w:rsid w:val="107680C5"/>
    <w:rsid w:val="10E3E55F"/>
    <w:rsid w:val="1132A7EA"/>
    <w:rsid w:val="119DEFEA"/>
    <w:rsid w:val="12FF8CA6"/>
    <w:rsid w:val="13005AFA"/>
    <w:rsid w:val="13159216"/>
    <w:rsid w:val="15A9341D"/>
    <w:rsid w:val="161C42D0"/>
    <w:rsid w:val="17B900C8"/>
    <w:rsid w:val="180194F3"/>
    <w:rsid w:val="180FA729"/>
    <w:rsid w:val="194FB611"/>
    <w:rsid w:val="19829A45"/>
    <w:rsid w:val="1991A26F"/>
    <w:rsid w:val="1AD0EA70"/>
    <w:rsid w:val="1B9D6B37"/>
    <w:rsid w:val="1C6609B5"/>
    <w:rsid w:val="1D25DF56"/>
    <w:rsid w:val="1D54640B"/>
    <w:rsid w:val="1FBA2474"/>
    <w:rsid w:val="2175B9F1"/>
    <w:rsid w:val="221DD2FC"/>
    <w:rsid w:val="224189CA"/>
    <w:rsid w:val="2255D792"/>
    <w:rsid w:val="22B7F027"/>
    <w:rsid w:val="240E0F01"/>
    <w:rsid w:val="25A7CFEA"/>
    <w:rsid w:val="2627F973"/>
    <w:rsid w:val="26725616"/>
    <w:rsid w:val="274D5161"/>
    <w:rsid w:val="27CA9507"/>
    <w:rsid w:val="27FFF381"/>
    <w:rsid w:val="28172DF9"/>
    <w:rsid w:val="2877B885"/>
    <w:rsid w:val="28EC8684"/>
    <w:rsid w:val="2B14B339"/>
    <w:rsid w:val="2B1CCFA7"/>
    <w:rsid w:val="2CCD5422"/>
    <w:rsid w:val="2DC3E5A7"/>
    <w:rsid w:val="2F3B809A"/>
    <w:rsid w:val="2F571060"/>
    <w:rsid w:val="2FC05A6F"/>
    <w:rsid w:val="2FFB57A6"/>
    <w:rsid w:val="30F987B7"/>
    <w:rsid w:val="327404C0"/>
    <w:rsid w:val="328E0F95"/>
    <w:rsid w:val="3309AA31"/>
    <w:rsid w:val="34A21248"/>
    <w:rsid w:val="34BC047C"/>
    <w:rsid w:val="35DC3FC6"/>
    <w:rsid w:val="371A0ABC"/>
    <w:rsid w:val="383C9E6F"/>
    <w:rsid w:val="39005842"/>
    <w:rsid w:val="39ECB97E"/>
    <w:rsid w:val="3A02DC64"/>
    <w:rsid w:val="3A54CA0B"/>
    <w:rsid w:val="3D61EBA6"/>
    <w:rsid w:val="3FB2A7AF"/>
    <w:rsid w:val="3FFA9ABA"/>
    <w:rsid w:val="401F9801"/>
    <w:rsid w:val="402ECC93"/>
    <w:rsid w:val="40C69081"/>
    <w:rsid w:val="426BDB5E"/>
    <w:rsid w:val="458FAEFB"/>
    <w:rsid w:val="46F1A828"/>
    <w:rsid w:val="470BD02C"/>
    <w:rsid w:val="47866A20"/>
    <w:rsid w:val="4855B97B"/>
    <w:rsid w:val="49351F70"/>
    <w:rsid w:val="4A68CCC6"/>
    <w:rsid w:val="4BB29453"/>
    <w:rsid w:val="4CB71A79"/>
    <w:rsid w:val="4D88441D"/>
    <w:rsid w:val="4F7E1D5D"/>
    <w:rsid w:val="4FA3A8F4"/>
    <w:rsid w:val="50B7763F"/>
    <w:rsid w:val="547B6BAF"/>
    <w:rsid w:val="570BD28F"/>
    <w:rsid w:val="594068D8"/>
    <w:rsid w:val="5AD4EBF9"/>
    <w:rsid w:val="5B066CFD"/>
    <w:rsid w:val="5B132423"/>
    <w:rsid w:val="5B9C78BF"/>
    <w:rsid w:val="5BD4F04C"/>
    <w:rsid w:val="5E734C0C"/>
    <w:rsid w:val="5EC37671"/>
    <w:rsid w:val="608A715C"/>
    <w:rsid w:val="60CD9901"/>
    <w:rsid w:val="612CFEFE"/>
    <w:rsid w:val="618BC0F2"/>
    <w:rsid w:val="61ADEB54"/>
    <w:rsid w:val="627C3D5D"/>
    <w:rsid w:val="63944332"/>
    <w:rsid w:val="63D6EA84"/>
    <w:rsid w:val="64549A0B"/>
    <w:rsid w:val="64A8EABA"/>
    <w:rsid w:val="67040B23"/>
    <w:rsid w:val="6794E974"/>
    <w:rsid w:val="67FC55F8"/>
    <w:rsid w:val="68BDFC13"/>
    <w:rsid w:val="68F76EBC"/>
    <w:rsid w:val="697792F9"/>
    <w:rsid w:val="698DB3F1"/>
    <w:rsid w:val="6A9533CE"/>
    <w:rsid w:val="6B729862"/>
    <w:rsid w:val="6CEC44CE"/>
    <w:rsid w:val="6D16E12B"/>
    <w:rsid w:val="6E065E69"/>
    <w:rsid w:val="6E9C61F1"/>
    <w:rsid w:val="6F29621E"/>
    <w:rsid w:val="6F4727D6"/>
    <w:rsid w:val="7047088C"/>
    <w:rsid w:val="70B51020"/>
    <w:rsid w:val="719A98E5"/>
    <w:rsid w:val="728C56CE"/>
    <w:rsid w:val="74418ABE"/>
    <w:rsid w:val="74514668"/>
    <w:rsid w:val="757E6D5C"/>
    <w:rsid w:val="773E6A08"/>
    <w:rsid w:val="779240FF"/>
    <w:rsid w:val="77C8B6A7"/>
    <w:rsid w:val="77F8F4BA"/>
    <w:rsid w:val="78256016"/>
    <w:rsid w:val="7887DFE6"/>
    <w:rsid w:val="79410F78"/>
    <w:rsid w:val="794BFFF3"/>
    <w:rsid w:val="7951AECB"/>
    <w:rsid w:val="79A81FBD"/>
    <w:rsid w:val="7AB98BE4"/>
    <w:rsid w:val="7AF2DB89"/>
    <w:rsid w:val="7CC88F06"/>
    <w:rsid w:val="7D02DCFD"/>
    <w:rsid w:val="7D14D607"/>
    <w:rsid w:val="7D9BB852"/>
    <w:rsid w:val="7FAF16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508C"/>
  <w15:chartTrackingRefBased/>
  <w15:docId w15:val="{0154591F-1D7A-4503-B9B8-2C7EFA4B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57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15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C2"/>
    <w:rPr>
      <w:rFonts w:ascii="Calibri" w:eastAsia="Calibri" w:hAnsi="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C2"/>
    <w:rPr>
      <w:rFonts w:ascii="Calibri" w:eastAsia="Calibri" w:hAnsi="Calibri" w:cs="Times New Roman"/>
    </w:rPr>
  </w:style>
  <w:style w:type="character" w:customStyle="1" w:styleId="Heading1Char">
    <w:name w:val="Heading 1 Char"/>
    <w:basedOn w:val="DefaultParagraphFont"/>
    <w:link w:val="Heading1"/>
    <w:uiPriority w:val="9"/>
    <w:rsid w:val="00A577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77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577ED"/>
    <w:rPr>
      <w:color w:val="0563C1" w:themeColor="hyperlink"/>
      <w:u w:val="single"/>
    </w:rPr>
  </w:style>
  <w:style w:type="table" w:styleId="TableGrid">
    <w:name w:val="Table Grid"/>
    <w:basedOn w:val="TableNormal"/>
    <w:uiPriority w:val="59"/>
    <w:rsid w:val="00A577E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uiPriority w:val="99"/>
    <w:rsid w:val="00A577ED"/>
    <w:pPr>
      <w:autoSpaceDE w:val="0"/>
      <w:autoSpaceDN w:val="0"/>
      <w:spacing w:after="0" w:line="241" w:lineRule="atLeast"/>
    </w:pPr>
    <w:rPr>
      <w:rFonts w:ascii="Meta" w:eastAsiaTheme="minorHAnsi" w:hAnsi="Meta" w:cs="Calibri"/>
      <w:sz w:val="24"/>
      <w:szCs w:val="24"/>
      <w:lang w:eastAsia="en-GB"/>
    </w:rPr>
  </w:style>
  <w:style w:type="character" w:customStyle="1" w:styleId="A12">
    <w:name w:val="A12"/>
    <w:basedOn w:val="DefaultParagraphFont"/>
    <w:uiPriority w:val="99"/>
    <w:rsid w:val="00A577ED"/>
    <w:rPr>
      <w:rFonts w:ascii="Meta" w:hAnsi="Meta" w:hint="default"/>
      <w:color w:val="000000"/>
    </w:rPr>
  </w:style>
  <w:style w:type="paragraph" w:styleId="CommentText">
    <w:name w:val="annotation text"/>
    <w:basedOn w:val="Normal"/>
    <w:link w:val="CommentTextChar"/>
    <w:uiPriority w:val="99"/>
    <w:unhideWhenUsed/>
    <w:rsid w:val="00A577ED"/>
    <w:pPr>
      <w:spacing w:line="240" w:lineRule="auto"/>
    </w:pPr>
    <w:rPr>
      <w:sz w:val="20"/>
      <w:szCs w:val="20"/>
    </w:rPr>
  </w:style>
  <w:style w:type="character" w:customStyle="1" w:styleId="CommentTextChar">
    <w:name w:val="Comment Text Char"/>
    <w:basedOn w:val="DefaultParagraphFont"/>
    <w:link w:val="CommentText"/>
    <w:uiPriority w:val="99"/>
    <w:rsid w:val="00A577E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577ED"/>
    <w:rPr>
      <w:sz w:val="16"/>
      <w:szCs w:val="16"/>
    </w:rPr>
  </w:style>
  <w:style w:type="character" w:styleId="IntenseEmphasis">
    <w:name w:val="Intense Emphasis"/>
    <w:basedOn w:val="DefaultParagraphFont"/>
    <w:uiPriority w:val="21"/>
    <w:qFormat/>
    <w:rsid w:val="004C5D8E"/>
    <w:rPr>
      <w:i/>
      <w:iCs/>
      <w:color w:val="4472C4" w:themeColor="accent1"/>
    </w:rPr>
  </w:style>
  <w:style w:type="character" w:customStyle="1" w:styleId="normaltextrun">
    <w:name w:val="normaltextrun"/>
    <w:basedOn w:val="DefaultParagraphFont"/>
    <w:rsid w:val="004D7D46"/>
  </w:style>
  <w:style w:type="character" w:customStyle="1" w:styleId="eop">
    <w:name w:val="eop"/>
    <w:basedOn w:val="DefaultParagraphFont"/>
    <w:rsid w:val="004D7D46"/>
  </w:style>
  <w:style w:type="character" w:styleId="Strong">
    <w:name w:val="Strong"/>
    <w:basedOn w:val="DefaultParagraphFont"/>
    <w:uiPriority w:val="22"/>
    <w:qFormat/>
    <w:rsid w:val="00120E79"/>
    <w:rPr>
      <w:b/>
      <w:bCs/>
    </w:rPr>
  </w:style>
  <w:style w:type="paragraph" w:customStyle="1" w:styleId="BasicParagraph">
    <w:name w:val="[Basic Paragraph]"/>
    <w:basedOn w:val="Normal"/>
    <w:uiPriority w:val="99"/>
    <w:rsid w:val="006D32BD"/>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 w:type="paragraph" w:styleId="NoSpacing">
    <w:name w:val="No Spacing"/>
    <w:uiPriority w:val="1"/>
    <w:qFormat/>
    <w:rsid w:val="008C4EA2"/>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47152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B71D23"/>
    <w:pPr>
      <w:spacing w:line="259" w:lineRule="auto"/>
      <w:outlineLvl w:val="9"/>
    </w:pPr>
    <w:rPr>
      <w:lang w:val="en-US"/>
    </w:rPr>
  </w:style>
  <w:style w:type="paragraph" w:styleId="TOC1">
    <w:name w:val="toc 1"/>
    <w:basedOn w:val="Normal"/>
    <w:next w:val="Normal"/>
    <w:autoRedefine/>
    <w:uiPriority w:val="39"/>
    <w:unhideWhenUsed/>
    <w:rsid w:val="00B71D23"/>
    <w:pPr>
      <w:spacing w:after="100"/>
    </w:pPr>
  </w:style>
  <w:style w:type="paragraph" w:styleId="TOC2">
    <w:name w:val="toc 2"/>
    <w:basedOn w:val="Normal"/>
    <w:next w:val="Normal"/>
    <w:autoRedefine/>
    <w:uiPriority w:val="39"/>
    <w:unhideWhenUsed/>
    <w:rsid w:val="00B71D23"/>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B71D23"/>
    <w:pPr>
      <w:spacing w:after="100" w:line="259" w:lineRule="auto"/>
      <w:ind w:left="440"/>
    </w:pPr>
    <w:rPr>
      <w:rFonts w:asciiTheme="minorHAnsi" w:eastAsiaTheme="minorEastAsia" w:hAnsiTheme="minorHAnsi"/>
      <w:lang w:val="en-US"/>
    </w:rPr>
  </w:style>
  <w:style w:type="paragraph" w:styleId="CommentSubject">
    <w:name w:val="annotation subject"/>
    <w:basedOn w:val="CommentText"/>
    <w:next w:val="CommentText"/>
    <w:link w:val="CommentSubjectChar"/>
    <w:uiPriority w:val="99"/>
    <w:semiHidden/>
    <w:unhideWhenUsed/>
    <w:rsid w:val="00F17647"/>
    <w:rPr>
      <w:b/>
      <w:bCs/>
    </w:rPr>
  </w:style>
  <w:style w:type="character" w:customStyle="1" w:styleId="CommentSubjectChar">
    <w:name w:val="Comment Subject Char"/>
    <w:basedOn w:val="CommentTextChar"/>
    <w:link w:val="CommentSubject"/>
    <w:uiPriority w:val="99"/>
    <w:semiHidden/>
    <w:rsid w:val="00F17647"/>
    <w:rPr>
      <w:rFonts w:ascii="Calibri" w:eastAsia="Calibri" w:hAnsi="Calibri" w:cs="Times New Roman"/>
      <w:b/>
      <w:bCs/>
      <w:sz w:val="20"/>
      <w:szCs w:val="20"/>
    </w:rPr>
  </w:style>
  <w:style w:type="character" w:customStyle="1" w:styleId="cf01">
    <w:name w:val="cf01"/>
    <w:basedOn w:val="DefaultParagraphFont"/>
    <w:rsid w:val="0048459B"/>
    <w:rPr>
      <w:rFonts w:ascii="Segoe UI" w:hAnsi="Segoe UI" w:cs="Segoe UI" w:hint="default"/>
      <w:sz w:val="18"/>
      <w:szCs w:val="18"/>
    </w:rPr>
  </w:style>
  <w:style w:type="paragraph" w:styleId="Revision">
    <w:name w:val="Revision"/>
    <w:hidden/>
    <w:uiPriority w:val="99"/>
    <w:semiHidden/>
    <w:rsid w:val="005B37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2596">
      <w:bodyDiv w:val="1"/>
      <w:marLeft w:val="0"/>
      <w:marRight w:val="0"/>
      <w:marTop w:val="0"/>
      <w:marBottom w:val="0"/>
      <w:divBdr>
        <w:top w:val="none" w:sz="0" w:space="0" w:color="auto"/>
        <w:left w:val="none" w:sz="0" w:space="0" w:color="auto"/>
        <w:bottom w:val="none" w:sz="0" w:space="0" w:color="auto"/>
        <w:right w:val="none" w:sz="0" w:space="0" w:color="auto"/>
      </w:divBdr>
    </w:div>
    <w:div w:id="131484066">
      <w:bodyDiv w:val="1"/>
      <w:marLeft w:val="0"/>
      <w:marRight w:val="0"/>
      <w:marTop w:val="0"/>
      <w:marBottom w:val="0"/>
      <w:divBdr>
        <w:top w:val="none" w:sz="0" w:space="0" w:color="auto"/>
        <w:left w:val="none" w:sz="0" w:space="0" w:color="auto"/>
        <w:bottom w:val="none" w:sz="0" w:space="0" w:color="auto"/>
        <w:right w:val="none" w:sz="0" w:space="0" w:color="auto"/>
      </w:divBdr>
    </w:div>
    <w:div w:id="819150846">
      <w:bodyDiv w:val="1"/>
      <w:marLeft w:val="0"/>
      <w:marRight w:val="0"/>
      <w:marTop w:val="0"/>
      <w:marBottom w:val="0"/>
      <w:divBdr>
        <w:top w:val="none" w:sz="0" w:space="0" w:color="auto"/>
        <w:left w:val="none" w:sz="0" w:space="0" w:color="auto"/>
        <w:bottom w:val="none" w:sz="0" w:space="0" w:color="auto"/>
        <w:right w:val="none" w:sz="0" w:space="0" w:color="auto"/>
      </w:divBdr>
    </w:div>
    <w:div w:id="1075973872">
      <w:bodyDiv w:val="1"/>
      <w:marLeft w:val="0"/>
      <w:marRight w:val="0"/>
      <w:marTop w:val="0"/>
      <w:marBottom w:val="0"/>
      <w:divBdr>
        <w:top w:val="none" w:sz="0" w:space="0" w:color="auto"/>
        <w:left w:val="none" w:sz="0" w:space="0" w:color="auto"/>
        <w:bottom w:val="none" w:sz="0" w:space="0" w:color="auto"/>
        <w:right w:val="none" w:sz="0" w:space="0" w:color="auto"/>
      </w:divBdr>
    </w:div>
    <w:div w:id="1098214184">
      <w:bodyDiv w:val="1"/>
      <w:marLeft w:val="0"/>
      <w:marRight w:val="0"/>
      <w:marTop w:val="0"/>
      <w:marBottom w:val="0"/>
      <w:divBdr>
        <w:top w:val="none" w:sz="0" w:space="0" w:color="auto"/>
        <w:left w:val="none" w:sz="0" w:space="0" w:color="auto"/>
        <w:bottom w:val="none" w:sz="0" w:space="0" w:color="auto"/>
        <w:right w:val="none" w:sz="0" w:space="0" w:color="auto"/>
      </w:divBdr>
    </w:div>
    <w:div w:id="1268855980">
      <w:bodyDiv w:val="1"/>
      <w:marLeft w:val="0"/>
      <w:marRight w:val="0"/>
      <w:marTop w:val="0"/>
      <w:marBottom w:val="0"/>
      <w:divBdr>
        <w:top w:val="none" w:sz="0" w:space="0" w:color="auto"/>
        <w:left w:val="none" w:sz="0" w:space="0" w:color="auto"/>
        <w:bottom w:val="none" w:sz="0" w:space="0" w:color="auto"/>
        <w:right w:val="none" w:sz="0" w:space="0" w:color="auto"/>
      </w:divBdr>
    </w:div>
    <w:div w:id="1307314904">
      <w:bodyDiv w:val="1"/>
      <w:marLeft w:val="0"/>
      <w:marRight w:val="0"/>
      <w:marTop w:val="0"/>
      <w:marBottom w:val="0"/>
      <w:divBdr>
        <w:top w:val="none" w:sz="0" w:space="0" w:color="auto"/>
        <w:left w:val="none" w:sz="0" w:space="0" w:color="auto"/>
        <w:bottom w:val="none" w:sz="0" w:space="0" w:color="auto"/>
        <w:right w:val="none" w:sz="0" w:space="0" w:color="auto"/>
      </w:divBdr>
    </w:div>
    <w:div w:id="1531869914">
      <w:bodyDiv w:val="1"/>
      <w:marLeft w:val="0"/>
      <w:marRight w:val="0"/>
      <w:marTop w:val="0"/>
      <w:marBottom w:val="0"/>
      <w:divBdr>
        <w:top w:val="none" w:sz="0" w:space="0" w:color="auto"/>
        <w:left w:val="none" w:sz="0" w:space="0" w:color="auto"/>
        <w:bottom w:val="none" w:sz="0" w:space="0" w:color="auto"/>
        <w:right w:val="none" w:sz="0" w:space="0" w:color="auto"/>
      </w:divBdr>
    </w:div>
    <w:div w:id="1716000456">
      <w:bodyDiv w:val="1"/>
      <w:marLeft w:val="0"/>
      <w:marRight w:val="0"/>
      <w:marTop w:val="0"/>
      <w:marBottom w:val="0"/>
      <w:divBdr>
        <w:top w:val="none" w:sz="0" w:space="0" w:color="auto"/>
        <w:left w:val="none" w:sz="0" w:space="0" w:color="auto"/>
        <w:bottom w:val="none" w:sz="0" w:space="0" w:color="auto"/>
        <w:right w:val="none" w:sz="0" w:space="0" w:color="auto"/>
      </w:divBdr>
    </w:div>
    <w:div w:id="1791049718">
      <w:bodyDiv w:val="1"/>
      <w:marLeft w:val="0"/>
      <w:marRight w:val="0"/>
      <w:marTop w:val="0"/>
      <w:marBottom w:val="0"/>
      <w:divBdr>
        <w:top w:val="none" w:sz="0" w:space="0" w:color="auto"/>
        <w:left w:val="none" w:sz="0" w:space="0" w:color="auto"/>
        <w:bottom w:val="none" w:sz="0" w:space="0" w:color="auto"/>
        <w:right w:val="none" w:sz="0" w:space="0" w:color="auto"/>
      </w:divBdr>
    </w:div>
    <w:div w:id="21420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housing21.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21.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9cf89d9-ad26-4bcc-9ac6-9c0e6c4a9e6d">
      <UserInfo>
        <DisplayName>Sarah Davies</DisplayName>
        <AccountId>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DFFE2B67F2B24E90EA3ED1A390AA2C" ma:contentTypeVersion="8" ma:contentTypeDescription="Create a new document." ma:contentTypeScope="" ma:versionID="2fa7cc98ab9c25c737d30b1a06100448">
  <xsd:schema xmlns:xsd="http://www.w3.org/2001/XMLSchema" xmlns:xs="http://www.w3.org/2001/XMLSchema" xmlns:p="http://schemas.microsoft.com/office/2006/metadata/properties" xmlns:ns2="ff8d22ef-1841-49d5-8ce6-b15d2f851a02" xmlns:ns3="89cf89d9-ad26-4bcc-9ac6-9c0e6c4a9e6d" targetNamespace="http://schemas.microsoft.com/office/2006/metadata/properties" ma:root="true" ma:fieldsID="f1e443d72c6829b153d91707402fdeea" ns2:_="" ns3:_="">
    <xsd:import namespace="ff8d22ef-1841-49d5-8ce6-b15d2f851a02"/>
    <xsd:import namespace="89cf89d9-ad26-4bcc-9ac6-9c0e6c4a9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22ef-1841-49d5-8ce6-b15d2f85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f89d9-ad26-4bcc-9ac6-9c0e6c4a9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8384C-CEB4-4E1D-8222-293C99B953DE}">
  <ds:schemaRefs>
    <ds:schemaRef ds:uri="http://schemas.openxmlformats.org/officeDocument/2006/bibliography"/>
  </ds:schemaRefs>
</ds:datastoreItem>
</file>

<file path=customXml/itemProps2.xml><?xml version="1.0" encoding="utf-8"?>
<ds:datastoreItem xmlns:ds="http://schemas.openxmlformats.org/officeDocument/2006/customXml" ds:itemID="{C3B68499-312A-466F-A4CF-60921209F328}">
  <ds:schemaRefs>
    <ds:schemaRef ds:uri="http://schemas.microsoft.com/office/2006/metadata/properties"/>
    <ds:schemaRef ds:uri="http://schemas.microsoft.com/office/infopath/2007/PartnerControls"/>
    <ds:schemaRef ds:uri="89cf89d9-ad26-4bcc-9ac6-9c0e6c4a9e6d"/>
  </ds:schemaRefs>
</ds:datastoreItem>
</file>

<file path=customXml/itemProps3.xml><?xml version="1.0" encoding="utf-8"?>
<ds:datastoreItem xmlns:ds="http://schemas.openxmlformats.org/officeDocument/2006/customXml" ds:itemID="{E7523BB9-32C4-435C-84BC-8839B9BD0614}">
  <ds:schemaRefs>
    <ds:schemaRef ds:uri="http://schemas.microsoft.com/sharepoint/v3/contenttype/forms"/>
  </ds:schemaRefs>
</ds:datastoreItem>
</file>

<file path=customXml/itemProps4.xml><?xml version="1.0" encoding="utf-8"?>
<ds:datastoreItem xmlns:ds="http://schemas.openxmlformats.org/officeDocument/2006/customXml" ds:itemID="{E8DF5C2F-6C61-4085-8507-27F45F444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d22ef-1841-49d5-8ce6-b15d2f851a02"/>
    <ds:schemaRef ds:uri="89cf89d9-ad26-4bcc-9ac6-9c0e6c4a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3405</Words>
  <Characters>19411</Characters>
  <Application>Microsoft Office Word</Application>
  <DocSecurity>0</DocSecurity>
  <Lines>161</Lines>
  <Paragraphs>45</Paragraphs>
  <ScaleCrop>false</ScaleCrop>
  <Company/>
  <LinksUpToDate>false</LinksUpToDate>
  <CharactersWithSpaces>22771</CharactersWithSpaces>
  <SharedDoc>false</SharedDoc>
  <HLinks>
    <vt:vector size="132" baseType="variant">
      <vt:variant>
        <vt:i4>1441855</vt:i4>
      </vt:variant>
      <vt:variant>
        <vt:i4>125</vt:i4>
      </vt:variant>
      <vt:variant>
        <vt:i4>0</vt:i4>
      </vt:variant>
      <vt:variant>
        <vt:i4>5</vt:i4>
      </vt:variant>
      <vt:variant>
        <vt:lpwstr/>
      </vt:variant>
      <vt:variant>
        <vt:lpwstr>_Toc184985257</vt:lpwstr>
      </vt:variant>
      <vt:variant>
        <vt:i4>1441855</vt:i4>
      </vt:variant>
      <vt:variant>
        <vt:i4>119</vt:i4>
      </vt:variant>
      <vt:variant>
        <vt:i4>0</vt:i4>
      </vt:variant>
      <vt:variant>
        <vt:i4>5</vt:i4>
      </vt:variant>
      <vt:variant>
        <vt:lpwstr/>
      </vt:variant>
      <vt:variant>
        <vt:lpwstr>_Toc184985256</vt:lpwstr>
      </vt:variant>
      <vt:variant>
        <vt:i4>1441855</vt:i4>
      </vt:variant>
      <vt:variant>
        <vt:i4>113</vt:i4>
      </vt:variant>
      <vt:variant>
        <vt:i4>0</vt:i4>
      </vt:variant>
      <vt:variant>
        <vt:i4>5</vt:i4>
      </vt:variant>
      <vt:variant>
        <vt:lpwstr/>
      </vt:variant>
      <vt:variant>
        <vt:lpwstr>_Toc184985255</vt:lpwstr>
      </vt:variant>
      <vt:variant>
        <vt:i4>1441855</vt:i4>
      </vt:variant>
      <vt:variant>
        <vt:i4>107</vt:i4>
      </vt:variant>
      <vt:variant>
        <vt:i4>0</vt:i4>
      </vt:variant>
      <vt:variant>
        <vt:i4>5</vt:i4>
      </vt:variant>
      <vt:variant>
        <vt:lpwstr/>
      </vt:variant>
      <vt:variant>
        <vt:lpwstr>_Toc184985254</vt:lpwstr>
      </vt:variant>
      <vt:variant>
        <vt:i4>1441855</vt:i4>
      </vt:variant>
      <vt:variant>
        <vt:i4>101</vt:i4>
      </vt:variant>
      <vt:variant>
        <vt:i4>0</vt:i4>
      </vt:variant>
      <vt:variant>
        <vt:i4>5</vt:i4>
      </vt:variant>
      <vt:variant>
        <vt:lpwstr/>
      </vt:variant>
      <vt:variant>
        <vt:lpwstr>_Toc184985253</vt:lpwstr>
      </vt:variant>
      <vt:variant>
        <vt:i4>1441855</vt:i4>
      </vt:variant>
      <vt:variant>
        <vt:i4>95</vt:i4>
      </vt:variant>
      <vt:variant>
        <vt:i4>0</vt:i4>
      </vt:variant>
      <vt:variant>
        <vt:i4>5</vt:i4>
      </vt:variant>
      <vt:variant>
        <vt:lpwstr/>
      </vt:variant>
      <vt:variant>
        <vt:lpwstr>_Toc184985252</vt:lpwstr>
      </vt:variant>
      <vt:variant>
        <vt:i4>1441855</vt:i4>
      </vt:variant>
      <vt:variant>
        <vt:i4>89</vt:i4>
      </vt:variant>
      <vt:variant>
        <vt:i4>0</vt:i4>
      </vt:variant>
      <vt:variant>
        <vt:i4>5</vt:i4>
      </vt:variant>
      <vt:variant>
        <vt:lpwstr/>
      </vt:variant>
      <vt:variant>
        <vt:lpwstr>_Toc184985251</vt:lpwstr>
      </vt:variant>
      <vt:variant>
        <vt:i4>1441855</vt:i4>
      </vt:variant>
      <vt:variant>
        <vt:i4>83</vt:i4>
      </vt:variant>
      <vt:variant>
        <vt:i4>0</vt:i4>
      </vt:variant>
      <vt:variant>
        <vt:i4>5</vt:i4>
      </vt:variant>
      <vt:variant>
        <vt:lpwstr/>
      </vt:variant>
      <vt:variant>
        <vt:lpwstr>_Toc184985250</vt:lpwstr>
      </vt:variant>
      <vt:variant>
        <vt:i4>1507391</vt:i4>
      </vt:variant>
      <vt:variant>
        <vt:i4>77</vt:i4>
      </vt:variant>
      <vt:variant>
        <vt:i4>0</vt:i4>
      </vt:variant>
      <vt:variant>
        <vt:i4>5</vt:i4>
      </vt:variant>
      <vt:variant>
        <vt:lpwstr/>
      </vt:variant>
      <vt:variant>
        <vt:lpwstr>_Toc184985249</vt:lpwstr>
      </vt:variant>
      <vt:variant>
        <vt:i4>1507391</vt:i4>
      </vt:variant>
      <vt:variant>
        <vt:i4>71</vt:i4>
      </vt:variant>
      <vt:variant>
        <vt:i4>0</vt:i4>
      </vt:variant>
      <vt:variant>
        <vt:i4>5</vt:i4>
      </vt:variant>
      <vt:variant>
        <vt:lpwstr/>
      </vt:variant>
      <vt:variant>
        <vt:lpwstr>_Toc184985248</vt:lpwstr>
      </vt:variant>
      <vt:variant>
        <vt:i4>1507391</vt:i4>
      </vt:variant>
      <vt:variant>
        <vt:i4>65</vt:i4>
      </vt:variant>
      <vt:variant>
        <vt:i4>0</vt:i4>
      </vt:variant>
      <vt:variant>
        <vt:i4>5</vt:i4>
      </vt:variant>
      <vt:variant>
        <vt:lpwstr/>
      </vt:variant>
      <vt:variant>
        <vt:lpwstr>_Toc184985247</vt:lpwstr>
      </vt:variant>
      <vt:variant>
        <vt:i4>1507391</vt:i4>
      </vt:variant>
      <vt:variant>
        <vt:i4>59</vt:i4>
      </vt:variant>
      <vt:variant>
        <vt:i4>0</vt:i4>
      </vt:variant>
      <vt:variant>
        <vt:i4>5</vt:i4>
      </vt:variant>
      <vt:variant>
        <vt:lpwstr/>
      </vt:variant>
      <vt:variant>
        <vt:lpwstr>_Toc184985246</vt:lpwstr>
      </vt:variant>
      <vt:variant>
        <vt:i4>1507391</vt:i4>
      </vt:variant>
      <vt:variant>
        <vt:i4>53</vt:i4>
      </vt:variant>
      <vt:variant>
        <vt:i4>0</vt:i4>
      </vt:variant>
      <vt:variant>
        <vt:i4>5</vt:i4>
      </vt:variant>
      <vt:variant>
        <vt:lpwstr/>
      </vt:variant>
      <vt:variant>
        <vt:lpwstr>_Toc184985245</vt:lpwstr>
      </vt:variant>
      <vt:variant>
        <vt:i4>1507391</vt:i4>
      </vt:variant>
      <vt:variant>
        <vt:i4>47</vt:i4>
      </vt:variant>
      <vt:variant>
        <vt:i4>0</vt:i4>
      </vt:variant>
      <vt:variant>
        <vt:i4>5</vt:i4>
      </vt:variant>
      <vt:variant>
        <vt:lpwstr/>
      </vt:variant>
      <vt:variant>
        <vt:lpwstr>_Toc184985244</vt:lpwstr>
      </vt:variant>
      <vt:variant>
        <vt:i4>1507391</vt:i4>
      </vt:variant>
      <vt:variant>
        <vt:i4>41</vt:i4>
      </vt:variant>
      <vt:variant>
        <vt:i4>0</vt:i4>
      </vt:variant>
      <vt:variant>
        <vt:i4>5</vt:i4>
      </vt:variant>
      <vt:variant>
        <vt:lpwstr/>
      </vt:variant>
      <vt:variant>
        <vt:lpwstr>_Toc184985243</vt:lpwstr>
      </vt:variant>
      <vt:variant>
        <vt:i4>1507391</vt:i4>
      </vt:variant>
      <vt:variant>
        <vt:i4>35</vt:i4>
      </vt:variant>
      <vt:variant>
        <vt:i4>0</vt:i4>
      </vt:variant>
      <vt:variant>
        <vt:i4>5</vt:i4>
      </vt:variant>
      <vt:variant>
        <vt:lpwstr/>
      </vt:variant>
      <vt:variant>
        <vt:lpwstr>_Toc184985242</vt:lpwstr>
      </vt:variant>
      <vt:variant>
        <vt:i4>1507391</vt:i4>
      </vt:variant>
      <vt:variant>
        <vt:i4>29</vt:i4>
      </vt:variant>
      <vt:variant>
        <vt:i4>0</vt:i4>
      </vt:variant>
      <vt:variant>
        <vt:i4>5</vt:i4>
      </vt:variant>
      <vt:variant>
        <vt:lpwstr/>
      </vt:variant>
      <vt:variant>
        <vt:lpwstr>_Toc184985241</vt:lpwstr>
      </vt:variant>
      <vt:variant>
        <vt:i4>1507391</vt:i4>
      </vt:variant>
      <vt:variant>
        <vt:i4>23</vt:i4>
      </vt:variant>
      <vt:variant>
        <vt:i4>0</vt:i4>
      </vt:variant>
      <vt:variant>
        <vt:i4>5</vt:i4>
      </vt:variant>
      <vt:variant>
        <vt:lpwstr/>
      </vt:variant>
      <vt:variant>
        <vt:lpwstr>_Toc184985240</vt:lpwstr>
      </vt:variant>
      <vt:variant>
        <vt:i4>1048639</vt:i4>
      </vt:variant>
      <vt:variant>
        <vt:i4>17</vt:i4>
      </vt:variant>
      <vt:variant>
        <vt:i4>0</vt:i4>
      </vt:variant>
      <vt:variant>
        <vt:i4>5</vt:i4>
      </vt:variant>
      <vt:variant>
        <vt:lpwstr/>
      </vt:variant>
      <vt:variant>
        <vt:lpwstr>_Toc184985239</vt:lpwstr>
      </vt:variant>
      <vt:variant>
        <vt:i4>1048639</vt:i4>
      </vt:variant>
      <vt:variant>
        <vt:i4>11</vt:i4>
      </vt:variant>
      <vt:variant>
        <vt:i4>0</vt:i4>
      </vt:variant>
      <vt:variant>
        <vt:i4>5</vt:i4>
      </vt:variant>
      <vt:variant>
        <vt:lpwstr/>
      </vt:variant>
      <vt:variant>
        <vt:lpwstr>_Toc184985238</vt:lpwstr>
      </vt:variant>
      <vt:variant>
        <vt:i4>1048639</vt:i4>
      </vt:variant>
      <vt:variant>
        <vt:i4>5</vt:i4>
      </vt:variant>
      <vt:variant>
        <vt:i4>0</vt:i4>
      </vt:variant>
      <vt:variant>
        <vt:i4>5</vt:i4>
      </vt:variant>
      <vt:variant>
        <vt:lpwstr/>
      </vt:variant>
      <vt:variant>
        <vt:lpwstr>_Toc184985237</vt:lpwstr>
      </vt:variant>
      <vt:variant>
        <vt:i4>983154</vt:i4>
      </vt:variant>
      <vt:variant>
        <vt:i4>0</vt:i4>
      </vt:variant>
      <vt:variant>
        <vt:i4>0</vt:i4>
      </vt:variant>
      <vt:variant>
        <vt:i4>5</vt:i4>
      </vt:variant>
      <vt:variant>
        <vt:lpwstr>mailto:Communications@housing21.org.uk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Taddei</dc:creator>
  <cp:keywords/>
  <dc:description/>
  <cp:lastModifiedBy>Dawn Aston-Adams</cp:lastModifiedBy>
  <cp:revision>2</cp:revision>
  <dcterms:created xsi:type="dcterms:W3CDTF">2024-12-13T12:55:00Z</dcterms:created>
  <dcterms:modified xsi:type="dcterms:W3CDTF">2024-12-13T12:55:00Z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0x01010050DFFE2B67F2B24E90EA3ED1A390AA2C</vt:lpwstr>
  </property>
</Properties>
</file>