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C95B" w14:textId="43FC4595" w:rsidR="007E2183" w:rsidRDefault="0038700C" w:rsidP="007A298B">
      <w:pPr>
        <w:spacing w:after="0"/>
        <w:rPr>
          <w:rFonts w:asciiTheme="minorHAnsi" w:hAnsiTheme="minorHAnsi" w:cs="Arial"/>
          <w:b/>
          <w:color w:val="003B64"/>
          <w:sz w:val="36"/>
          <w:szCs w:val="36"/>
        </w:rPr>
      </w:pPr>
      <w:r>
        <w:rPr>
          <w:noProof/>
        </w:rPr>
        <w:drawing>
          <wp:anchor distT="0" distB="0" distL="114300" distR="114300" simplePos="0" relativeHeight="251658240" behindDoc="0" locked="0" layoutInCell="1" allowOverlap="1" wp14:anchorId="3AB9F6A4" wp14:editId="064203A5">
            <wp:simplePos x="0" y="0"/>
            <wp:positionH relativeFrom="column">
              <wp:posOffset>4200525</wp:posOffset>
            </wp:positionH>
            <wp:positionV relativeFrom="paragraph">
              <wp:posOffset>0</wp:posOffset>
            </wp:positionV>
            <wp:extent cx="2001520" cy="577850"/>
            <wp:effectExtent l="0" t="0" r="0" b="0"/>
            <wp:wrapSquare wrapText="bothSides"/>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a:hlinkClick r:id="rId11"/>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152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1C9">
        <w:rPr>
          <w:rFonts w:asciiTheme="minorHAnsi" w:hAnsiTheme="minorHAnsi" w:cs="Arial"/>
          <w:b/>
          <w:color w:val="003B64"/>
          <w:sz w:val="36"/>
          <w:szCs w:val="36"/>
        </w:rPr>
        <w:t xml:space="preserve">                                                                  </w:t>
      </w:r>
    </w:p>
    <w:p w14:paraId="3EE8EE0F" w14:textId="32197D0F" w:rsidR="00DB01D9" w:rsidRDefault="00DB01D9" w:rsidP="00715A86">
      <w:pPr>
        <w:spacing w:after="0"/>
        <w:jc w:val="right"/>
        <w:rPr>
          <w:rFonts w:asciiTheme="minorHAnsi" w:hAnsiTheme="minorHAnsi" w:cs="Arial"/>
          <w:b/>
          <w:color w:val="003B64"/>
          <w:sz w:val="36"/>
          <w:szCs w:val="36"/>
        </w:rPr>
      </w:pPr>
    </w:p>
    <w:p w14:paraId="1C2D5092" w14:textId="03A081C8" w:rsidR="00907941" w:rsidRDefault="00C37ABA" w:rsidP="00715A86">
      <w:pPr>
        <w:spacing w:after="0"/>
        <w:jc w:val="center"/>
        <w:rPr>
          <w:rFonts w:cs="Calibri"/>
          <w:b/>
          <w:sz w:val="40"/>
          <w:szCs w:val="40"/>
        </w:rPr>
      </w:pPr>
      <w:r>
        <w:rPr>
          <w:rFonts w:cs="Calibri"/>
          <w:b/>
          <w:sz w:val="40"/>
          <w:szCs w:val="40"/>
        </w:rPr>
        <w:t xml:space="preserve">Mobility Vehicle </w:t>
      </w:r>
      <w:r w:rsidR="00907941" w:rsidRPr="00042127">
        <w:rPr>
          <w:rFonts w:cs="Calibri"/>
          <w:b/>
          <w:sz w:val="40"/>
          <w:szCs w:val="40"/>
        </w:rPr>
        <w:t>Policy and Procedures</w:t>
      </w:r>
    </w:p>
    <w:p w14:paraId="3A0F1CA8" w14:textId="77777777" w:rsidR="00CC2CED" w:rsidRPr="00042127" w:rsidRDefault="00CC2CED" w:rsidP="00715A86">
      <w:pPr>
        <w:spacing w:after="0"/>
        <w:jc w:val="center"/>
        <w:rPr>
          <w:rStyle w:val="A12"/>
          <w:rFonts w:ascii="Calibri" w:hAnsi="Calibri" w:cs="Calibri"/>
          <w:b/>
          <w:color w:val="auto"/>
          <w:sz w:val="40"/>
          <w:szCs w:val="40"/>
        </w:rPr>
      </w:pPr>
    </w:p>
    <w:p w14:paraId="3A468FB5" w14:textId="60C5B7E9" w:rsidR="00A577ED" w:rsidRPr="00042127" w:rsidRDefault="00A577ED" w:rsidP="00715A86">
      <w:pPr>
        <w:pStyle w:val="Pa14"/>
        <w:spacing w:line="276" w:lineRule="auto"/>
        <w:jc w:val="center"/>
        <w:rPr>
          <w:rStyle w:val="Hyperlink"/>
          <w:rFonts w:ascii="Calibri" w:hAnsi="Calibri"/>
          <w:sz w:val="32"/>
          <w:szCs w:val="32"/>
        </w:rPr>
      </w:pPr>
      <w:r w:rsidRPr="00042127">
        <w:rPr>
          <w:rStyle w:val="A12"/>
          <w:rFonts w:ascii="Calibri" w:hAnsi="Calibri"/>
          <w:sz w:val="32"/>
          <w:szCs w:val="32"/>
        </w:rPr>
        <w:t xml:space="preserve">If you need any information in a different format, for example large print, Braille, audio file or another language, please email </w:t>
      </w:r>
      <w:hyperlink r:id="rId13" w:history="1">
        <w:r w:rsidRPr="00042127">
          <w:rPr>
            <w:rStyle w:val="Hyperlink"/>
            <w:rFonts w:ascii="Calibri" w:hAnsi="Calibri"/>
            <w:sz w:val="32"/>
            <w:szCs w:val="32"/>
          </w:rPr>
          <w:t>Communications@housing21.org.uk</w:t>
        </w:r>
      </w:hyperlink>
    </w:p>
    <w:p w14:paraId="4003DE95" w14:textId="0EF734A5" w:rsidR="00A577ED" w:rsidRPr="00042127" w:rsidRDefault="00A577ED" w:rsidP="007A298B">
      <w:pPr>
        <w:pStyle w:val="Pa14"/>
        <w:spacing w:line="276" w:lineRule="auto"/>
        <w:rPr>
          <w:rStyle w:val="Hyperlink"/>
          <w:rFonts w:ascii="Calibri" w:hAnsi="Calibri"/>
          <w:sz w:val="32"/>
          <w:szCs w:val="32"/>
        </w:rPr>
      </w:pPr>
    </w:p>
    <w:tbl>
      <w:tblPr>
        <w:tblStyle w:val="TableGrid"/>
        <w:tblW w:w="9776" w:type="dxa"/>
        <w:tblLook w:val="04A0" w:firstRow="1" w:lastRow="0" w:firstColumn="1" w:lastColumn="0" w:noHBand="0" w:noVBand="1"/>
      </w:tblPr>
      <w:tblGrid>
        <w:gridCol w:w="3823"/>
        <w:gridCol w:w="5953"/>
      </w:tblGrid>
      <w:tr w:rsidR="004C1A9D" w:rsidRPr="00042127" w14:paraId="49AC1A99" w14:textId="77777777" w:rsidTr="00ED54F8">
        <w:trPr>
          <w:trHeight w:val="408"/>
        </w:trPr>
        <w:tc>
          <w:tcPr>
            <w:tcW w:w="3823" w:type="dxa"/>
            <w:vAlign w:val="center"/>
          </w:tcPr>
          <w:p w14:paraId="6C60788A" w14:textId="0CFFB62D" w:rsidR="004C1A9D" w:rsidRPr="00042127" w:rsidRDefault="004C1A9D" w:rsidP="007A298B">
            <w:pPr>
              <w:spacing w:after="0"/>
              <w:rPr>
                <w:rFonts w:cs="Calibri"/>
                <w:b/>
                <w:bCs/>
                <w:sz w:val="22"/>
                <w:szCs w:val="22"/>
              </w:rPr>
            </w:pPr>
            <w:r w:rsidRPr="00042127">
              <w:rPr>
                <w:rFonts w:cs="Calibri"/>
                <w:b/>
                <w:bCs/>
                <w:sz w:val="22"/>
                <w:szCs w:val="22"/>
              </w:rPr>
              <w:t>Version</w:t>
            </w:r>
            <w:r w:rsidR="00271C6C" w:rsidRPr="00042127">
              <w:rPr>
                <w:rFonts w:cs="Calibri"/>
                <w:b/>
                <w:bCs/>
                <w:sz w:val="22"/>
                <w:szCs w:val="22"/>
              </w:rPr>
              <w:t xml:space="preserve"> number</w:t>
            </w:r>
          </w:p>
        </w:tc>
        <w:tc>
          <w:tcPr>
            <w:tcW w:w="5953" w:type="dxa"/>
            <w:vAlign w:val="center"/>
          </w:tcPr>
          <w:p w14:paraId="4BFD261E" w14:textId="338533D6" w:rsidR="004C1A9D" w:rsidRPr="00042127" w:rsidRDefault="0059788A" w:rsidP="007A298B">
            <w:pPr>
              <w:spacing w:after="0"/>
              <w:rPr>
                <w:rFonts w:cs="Calibri"/>
              </w:rPr>
            </w:pPr>
            <w:r>
              <w:rPr>
                <w:rFonts w:cs="Calibri"/>
              </w:rPr>
              <w:t>2.1</w:t>
            </w:r>
          </w:p>
        </w:tc>
      </w:tr>
      <w:tr w:rsidR="004C1A9D" w:rsidRPr="00042127" w14:paraId="76567972" w14:textId="77777777" w:rsidTr="00ED54F8">
        <w:trPr>
          <w:trHeight w:val="415"/>
        </w:trPr>
        <w:tc>
          <w:tcPr>
            <w:tcW w:w="3823" w:type="dxa"/>
            <w:vAlign w:val="center"/>
          </w:tcPr>
          <w:p w14:paraId="0D8AEA3D" w14:textId="673339B2" w:rsidR="004C1A9D" w:rsidRPr="00042127" w:rsidRDefault="004C1A9D" w:rsidP="007A298B">
            <w:pPr>
              <w:spacing w:after="0"/>
              <w:rPr>
                <w:rFonts w:cs="Calibri"/>
                <w:b/>
                <w:bCs/>
                <w:sz w:val="22"/>
                <w:szCs w:val="22"/>
              </w:rPr>
            </w:pPr>
            <w:r w:rsidRPr="00042127">
              <w:rPr>
                <w:rFonts w:cs="Calibri"/>
                <w:b/>
                <w:bCs/>
                <w:sz w:val="22"/>
                <w:szCs w:val="22"/>
              </w:rPr>
              <w:t>Issue date</w:t>
            </w:r>
          </w:p>
        </w:tc>
        <w:tc>
          <w:tcPr>
            <w:tcW w:w="5953" w:type="dxa"/>
            <w:vAlign w:val="center"/>
          </w:tcPr>
          <w:p w14:paraId="2548D66A" w14:textId="791EF4CF" w:rsidR="004C1A9D" w:rsidRPr="00042127" w:rsidRDefault="004A7145" w:rsidP="007A298B">
            <w:pPr>
              <w:spacing w:after="0"/>
              <w:rPr>
                <w:rFonts w:cs="Calibri"/>
                <w:sz w:val="22"/>
                <w:szCs w:val="22"/>
              </w:rPr>
            </w:pPr>
            <w:r>
              <w:rPr>
                <w:rFonts w:cs="Calibri"/>
                <w:sz w:val="22"/>
                <w:szCs w:val="22"/>
              </w:rPr>
              <w:t>April 2024</w:t>
            </w:r>
          </w:p>
        </w:tc>
      </w:tr>
      <w:tr w:rsidR="004C1A9D" w:rsidRPr="00042127" w14:paraId="08780716" w14:textId="77777777" w:rsidTr="00ED54F8">
        <w:trPr>
          <w:trHeight w:val="421"/>
        </w:trPr>
        <w:tc>
          <w:tcPr>
            <w:tcW w:w="3823" w:type="dxa"/>
            <w:vAlign w:val="center"/>
          </w:tcPr>
          <w:p w14:paraId="2531EAE1" w14:textId="5BDAEAD0" w:rsidR="004C1A9D" w:rsidRPr="00042127" w:rsidRDefault="004C1A9D" w:rsidP="007A298B">
            <w:pPr>
              <w:spacing w:after="0"/>
              <w:rPr>
                <w:rFonts w:cs="Calibri"/>
                <w:b/>
                <w:bCs/>
                <w:sz w:val="22"/>
                <w:szCs w:val="22"/>
              </w:rPr>
            </w:pPr>
            <w:r w:rsidRPr="00042127">
              <w:rPr>
                <w:rFonts w:cs="Calibri"/>
                <w:b/>
                <w:bCs/>
                <w:sz w:val="22"/>
                <w:szCs w:val="22"/>
              </w:rPr>
              <w:t>Review date</w:t>
            </w:r>
          </w:p>
        </w:tc>
        <w:tc>
          <w:tcPr>
            <w:tcW w:w="5953" w:type="dxa"/>
            <w:vAlign w:val="center"/>
          </w:tcPr>
          <w:p w14:paraId="070C9335" w14:textId="1DE29E94" w:rsidR="004C1A9D" w:rsidRPr="00042127" w:rsidRDefault="004A7145" w:rsidP="007A298B">
            <w:pPr>
              <w:spacing w:after="0"/>
              <w:rPr>
                <w:rFonts w:cs="Calibri"/>
                <w:sz w:val="22"/>
                <w:szCs w:val="22"/>
              </w:rPr>
            </w:pPr>
            <w:r>
              <w:rPr>
                <w:rFonts w:cs="Calibri"/>
                <w:sz w:val="22"/>
                <w:szCs w:val="22"/>
              </w:rPr>
              <w:t>April 2027</w:t>
            </w:r>
          </w:p>
        </w:tc>
      </w:tr>
      <w:tr w:rsidR="004C1A9D" w:rsidRPr="00042127" w14:paraId="596D6646" w14:textId="77777777" w:rsidTr="00ED54F8">
        <w:trPr>
          <w:trHeight w:val="398"/>
        </w:trPr>
        <w:tc>
          <w:tcPr>
            <w:tcW w:w="3823" w:type="dxa"/>
            <w:vAlign w:val="center"/>
          </w:tcPr>
          <w:p w14:paraId="26E78288" w14:textId="493A17A9" w:rsidR="004C1A9D" w:rsidRPr="00042127" w:rsidRDefault="004C1A9D" w:rsidP="007A298B">
            <w:pPr>
              <w:spacing w:after="0"/>
              <w:rPr>
                <w:rFonts w:cs="Calibri"/>
                <w:b/>
                <w:bCs/>
                <w:sz w:val="22"/>
                <w:szCs w:val="22"/>
              </w:rPr>
            </w:pPr>
            <w:r w:rsidRPr="00042127">
              <w:rPr>
                <w:rFonts w:cs="Calibri"/>
                <w:b/>
                <w:bCs/>
                <w:sz w:val="22"/>
                <w:szCs w:val="22"/>
              </w:rPr>
              <w:t>Board approval required?</w:t>
            </w:r>
          </w:p>
        </w:tc>
        <w:tc>
          <w:tcPr>
            <w:tcW w:w="5953" w:type="dxa"/>
            <w:vAlign w:val="center"/>
          </w:tcPr>
          <w:p w14:paraId="1A8773AD" w14:textId="08B7A965" w:rsidR="004C1A9D" w:rsidRPr="00042127" w:rsidRDefault="00907941" w:rsidP="007A298B">
            <w:pPr>
              <w:spacing w:after="0"/>
              <w:rPr>
                <w:rFonts w:cs="Calibri"/>
                <w:sz w:val="22"/>
                <w:szCs w:val="22"/>
              </w:rPr>
            </w:pPr>
            <w:r w:rsidRPr="00042127">
              <w:rPr>
                <w:rFonts w:cs="Calibri"/>
                <w:sz w:val="22"/>
                <w:szCs w:val="22"/>
              </w:rPr>
              <w:t>No</w:t>
            </w:r>
          </w:p>
        </w:tc>
      </w:tr>
      <w:tr w:rsidR="004C1A9D" w:rsidRPr="00042127" w14:paraId="1D4CD84E" w14:textId="77777777" w:rsidTr="00ED54F8">
        <w:trPr>
          <w:trHeight w:val="418"/>
        </w:trPr>
        <w:tc>
          <w:tcPr>
            <w:tcW w:w="3823" w:type="dxa"/>
            <w:vAlign w:val="center"/>
          </w:tcPr>
          <w:p w14:paraId="69918A2B" w14:textId="5DBB1F9D" w:rsidR="004C1A9D" w:rsidRPr="00042127" w:rsidRDefault="004C1A9D" w:rsidP="007A298B">
            <w:pPr>
              <w:spacing w:after="0"/>
              <w:rPr>
                <w:rFonts w:cs="Calibri"/>
                <w:b/>
                <w:bCs/>
                <w:sz w:val="22"/>
                <w:szCs w:val="22"/>
              </w:rPr>
            </w:pPr>
            <w:r w:rsidRPr="00042127">
              <w:rPr>
                <w:rFonts w:cs="Calibri"/>
                <w:b/>
                <w:bCs/>
                <w:sz w:val="22"/>
                <w:szCs w:val="22"/>
              </w:rPr>
              <w:t xml:space="preserve">If yes, </w:t>
            </w:r>
            <w:r w:rsidR="00C75FF6" w:rsidRPr="00042127">
              <w:rPr>
                <w:rFonts w:cs="Calibri"/>
                <w:b/>
                <w:bCs/>
                <w:sz w:val="22"/>
                <w:szCs w:val="22"/>
              </w:rPr>
              <w:t>date approved by Board</w:t>
            </w:r>
          </w:p>
        </w:tc>
        <w:tc>
          <w:tcPr>
            <w:tcW w:w="5953" w:type="dxa"/>
            <w:vAlign w:val="center"/>
          </w:tcPr>
          <w:p w14:paraId="0F6E80B8" w14:textId="77777777" w:rsidR="004C1A9D" w:rsidRPr="00042127" w:rsidRDefault="004C1A9D" w:rsidP="007A298B">
            <w:pPr>
              <w:spacing w:after="0"/>
              <w:rPr>
                <w:rFonts w:cs="Calibri"/>
                <w:sz w:val="22"/>
                <w:szCs w:val="22"/>
              </w:rPr>
            </w:pPr>
          </w:p>
        </w:tc>
      </w:tr>
      <w:tr w:rsidR="00C75FF6" w:rsidRPr="00042127" w14:paraId="715A55BA" w14:textId="77777777" w:rsidTr="00ED54F8">
        <w:trPr>
          <w:trHeight w:val="411"/>
        </w:trPr>
        <w:tc>
          <w:tcPr>
            <w:tcW w:w="3823" w:type="dxa"/>
            <w:vAlign w:val="center"/>
          </w:tcPr>
          <w:p w14:paraId="1FF8DFDA" w14:textId="745DBDA6" w:rsidR="00C75FF6" w:rsidRPr="00042127" w:rsidRDefault="00C75FF6" w:rsidP="007A298B">
            <w:pPr>
              <w:spacing w:after="0"/>
              <w:rPr>
                <w:rFonts w:cs="Calibri"/>
                <w:b/>
                <w:bCs/>
                <w:sz w:val="22"/>
                <w:szCs w:val="22"/>
              </w:rPr>
            </w:pPr>
            <w:r w:rsidRPr="00042127">
              <w:rPr>
                <w:rFonts w:cs="Calibri"/>
                <w:b/>
                <w:bCs/>
                <w:sz w:val="22"/>
                <w:szCs w:val="22"/>
              </w:rPr>
              <w:t>Author’s name and job title</w:t>
            </w:r>
          </w:p>
        </w:tc>
        <w:tc>
          <w:tcPr>
            <w:tcW w:w="5953" w:type="dxa"/>
            <w:vAlign w:val="center"/>
          </w:tcPr>
          <w:p w14:paraId="29B073E1" w14:textId="78C8E193" w:rsidR="00C75FF6" w:rsidRPr="00042127" w:rsidRDefault="00681D3A" w:rsidP="007A298B">
            <w:pPr>
              <w:spacing w:after="0"/>
              <w:rPr>
                <w:rFonts w:cs="Calibri"/>
                <w:sz w:val="22"/>
                <w:szCs w:val="22"/>
              </w:rPr>
            </w:pPr>
            <w:r>
              <w:rPr>
                <w:rFonts w:cs="Calibri"/>
                <w:sz w:val="22"/>
                <w:szCs w:val="22"/>
              </w:rPr>
              <w:t xml:space="preserve">Alicia Wheeler, National Health </w:t>
            </w:r>
            <w:r w:rsidR="00104EB9">
              <w:rPr>
                <w:rFonts w:cs="Calibri"/>
                <w:sz w:val="22"/>
                <w:szCs w:val="22"/>
              </w:rPr>
              <w:t xml:space="preserve">and </w:t>
            </w:r>
            <w:r>
              <w:rPr>
                <w:rFonts w:cs="Calibri"/>
                <w:sz w:val="22"/>
                <w:szCs w:val="22"/>
              </w:rPr>
              <w:t>Safety Manager</w:t>
            </w:r>
          </w:p>
        </w:tc>
      </w:tr>
      <w:tr w:rsidR="00C75FF6" w:rsidRPr="00042127" w14:paraId="71A1856E" w14:textId="77777777" w:rsidTr="00ED54F8">
        <w:trPr>
          <w:trHeight w:val="417"/>
        </w:trPr>
        <w:tc>
          <w:tcPr>
            <w:tcW w:w="3823" w:type="dxa"/>
            <w:vAlign w:val="center"/>
          </w:tcPr>
          <w:p w14:paraId="7B28BE02" w14:textId="368B0853" w:rsidR="00C75FF6" w:rsidRPr="00042127" w:rsidRDefault="00C75FF6" w:rsidP="007A298B">
            <w:pPr>
              <w:spacing w:after="0"/>
              <w:rPr>
                <w:rFonts w:cs="Calibri"/>
                <w:b/>
                <w:bCs/>
                <w:sz w:val="22"/>
                <w:szCs w:val="22"/>
              </w:rPr>
            </w:pPr>
            <w:r w:rsidRPr="00042127">
              <w:rPr>
                <w:rFonts w:cs="Calibri"/>
                <w:b/>
                <w:bCs/>
                <w:sz w:val="22"/>
                <w:szCs w:val="22"/>
              </w:rPr>
              <w:t>Policy owner and job title</w:t>
            </w:r>
          </w:p>
        </w:tc>
        <w:tc>
          <w:tcPr>
            <w:tcW w:w="5953" w:type="dxa"/>
            <w:vAlign w:val="center"/>
          </w:tcPr>
          <w:p w14:paraId="2182A136" w14:textId="77777777" w:rsidR="00C75FF6" w:rsidRPr="001747AA" w:rsidRDefault="009F415B" w:rsidP="007A298B">
            <w:pPr>
              <w:spacing w:after="0"/>
              <w:rPr>
                <w:rFonts w:cs="Calibri"/>
                <w:sz w:val="22"/>
                <w:szCs w:val="22"/>
              </w:rPr>
            </w:pPr>
            <w:r w:rsidRPr="001747AA">
              <w:rPr>
                <w:rFonts w:cs="Calibri"/>
                <w:sz w:val="22"/>
                <w:szCs w:val="22"/>
              </w:rPr>
              <w:t>Kris Peach</w:t>
            </w:r>
            <w:r w:rsidR="00037D19" w:rsidRPr="001747AA">
              <w:rPr>
                <w:rFonts w:cs="Calibri"/>
                <w:sz w:val="22"/>
                <w:szCs w:val="22"/>
              </w:rPr>
              <w:t xml:space="preserve">, </w:t>
            </w:r>
            <w:r w:rsidRPr="001747AA">
              <w:rPr>
                <w:rFonts w:cs="Calibri"/>
                <w:sz w:val="22"/>
                <w:szCs w:val="22"/>
              </w:rPr>
              <w:t>Managing Director Extra Care</w:t>
            </w:r>
          </w:p>
          <w:p w14:paraId="650E5360" w14:textId="195374D4" w:rsidR="009F415B" w:rsidRPr="00042127" w:rsidRDefault="009F415B" w:rsidP="007A298B">
            <w:pPr>
              <w:spacing w:after="0"/>
              <w:rPr>
                <w:rFonts w:cs="Calibri"/>
                <w:sz w:val="22"/>
                <w:szCs w:val="22"/>
              </w:rPr>
            </w:pPr>
            <w:r w:rsidRPr="001747AA">
              <w:rPr>
                <w:rFonts w:cs="Calibri"/>
                <w:sz w:val="22"/>
                <w:szCs w:val="22"/>
              </w:rPr>
              <w:t>Pam Mastrantonio, Managing Director Retirement Living</w:t>
            </w:r>
          </w:p>
        </w:tc>
      </w:tr>
      <w:tr w:rsidR="00037D19" w:rsidRPr="00042127" w14:paraId="078EED1B" w14:textId="77777777" w:rsidTr="00ED54F8">
        <w:trPr>
          <w:trHeight w:val="706"/>
        </w:trPr>
        <w:tc>
          <w:tcPr>
            <w:tcW w:w="3823" w:type="dxa"/>
            <w:vAlign w:val="center"/>
          </w:tcPr>
          <w:p w14:paraId="60F71ED2" w14:textId="43BFE1AE" w:rsidR="00037D19" w:rsidRPr="00037D19" w:rsidRDefault="00037D19" w:rsidP="007A298B">
            <w:pPr>
              <w:spacing w:after="0"/>
              <w:rPr>
                <w:rFonts w:cs="Calibri"/>
                <w:b/>
                <w:bCs/>
                <w:sz w:val="22"/>
                <w:szCs w:val="22"/>
              </w:rPr>
            </w:pPr>
            <w:r w:rsidRPr="00037D19">
              <w:rPr>
                <w:rFonts w:cs="Calibri"/>
                <w:b/>
                <w:bCs/>
                <w:sz w:val="22"/>
                <w:szCs w:val="22"/>
              </w:rPr>
              <w:t>Reviewed by</w:t>
            </w:r>
          </w:p>
        </w:tc>
        <w:tc>
          <w:tcPr>
            <w:tcW w:w="5953" w:type="dxa"/>
            <w:vAlign w:val="center"/>
          </w:tcPr>
          <w:p w14:paraId="0366531B" w14:textId="42E62636" w:rsidR="00037D19" w:rsidRPr="00037D19" w:rsidRDefault="0059788A" w:rsidP="007A298B">
            <w:pPr>
              <w:spacing w:after="0"/>
              <w:rPr>
                <w:rFonts w:cs="Calibri"/>
                <w:sz w:val="22"/>
                <w:szCs w:val="22"/>
              </w:rPr>
            </w:pPr>
            <w:r>
              <w:rPr>
                <w:rFonts w:cs="Calibri"/>
                <w:sz w:val="22"/>
                <w:szCs w:val="22"/>
              </w:rPr>
              <w:t xml:space="preserve">Wayne Pringle, </w:t>
            </w:r>
            <w:r w:rsidR="004D190C">
              <w:rPr>
                <w:rFonts w:cs="Calibri"/>
                <w:sz w:val="22"/>
                <w:szCs w:val="22"/>
              </w:rPr>
              <w:t xml:space="preserve">Fire Safety Manager, </w:t>
            </w:r>
            <w:r>
              <w:rPr>
                <w:rFonts w:cs="Calibri"/>
                <w:sz w:val="22"/>
                <w:szCs w:val="22"/>
              </w:rPr>
              <w:t xml:space="preserve">Cambridgeshire Fire </w:t>
            </w:r>
            <w:r w:rsidR="00104EB9">
              <w:rPr>
                <w:rFonts w:cs="Calibri"/>
                <w:sz w:val="22"/>
                <w:szCs w:val="22"/>
              </w:rPr>
              <w:t xml:space="preserve">and </w:t>
            </w:r>
            <w:r>
              <w:rPr>
                <w:rFonts w:cs="Calibri"/>
                <w:sz w:val="22"/>
                <w:szCs w:val="22"/>
              </w:rPr>
              <w:t>Rescue Service</w:t>
            </w:r>
          </w:p>
        </w:tc>
      </w:tr>
      <w:tr w:rsidR="00EA6E8A" w:rsidRPr="00042127" w14:paraId="166FB3CC" w14:textId="77777777" w:rsidTr="00ED54F8">
        <w:trPr>
          <w:trHeight w:val="419"/>
        </w:trPr>
        <w:tc>
          <w:tcPr>
            <w:tcW w:w="3823" w:type="dxa"/>
            <w:vAlign w:val="center"/>
          </w:tcPr>
          <w:p w14:paraId="0DE937A2" w14:textId="4F279155" w:rsidR="00EA6E8A" w:rsidRPr="00042127" w:rsidRDefault="00EA6E8A" w:rsidP="007A298B">
            <w:pPr>
              <w:spacing w:after="0"/>
              <w:rPr>
                <w:rFonts w:cs="Calibri"/>
                <w:b/>
                <w:bCs/>
                <w:sz w:val="22"/>
                <w:szCs w:val="22"/>
              </w:rPr>
            </w:pPr>
            <w:r w:rsidRPr="00042127">
              <w:rPr>
                <w:rFonts w:cs="Calibri"/>
                <w:b/>
                <w:bCs/>
                <w:sz w:val="22"/>
                <w:szCs w:val="22"/>
              </w:rPr>
              <w:t xml:space="preserve">Policy </w:t>
            </w:r>
            <w:r w:rsidR="00323FBD" w:rsidRPr="00042127">
              <w:rPr>
                <w:rFonts w:cs="Calibri"/>
                <w:b/>
                <w:bCs/>
                <w:sz w:val="22"/>
                <w:szCs w:val="22"/>
              </w:rPr>
              <w:t xml:space="preserve">Steering </w:t>
            </w:r>
            <w:r w:rsidRPr="00042127">
              <w:rPr>
                <w:rFonts w:cs="Calibri"/>
                <w:b/>
                <w:bCs/>
                <w:sz w:val="22"/>
                <w:szCs w:val="22"/>
              </w:rPr>
              <w:t>Group approval date</w:t>
            </w:r>
          </w:p>
        </w:tc>
        <w:tc>
          <w:tcPr>
            <w:tcW w:w="5953" w:type="dxa"/>
            <w:vAlign w:val="center"/>
          </w:tcPr>
          <w:p w14:paraId="4707EF2F" w14:textId="5CB76E23" w:rsidR="00EA6E8A" w:rsidRPr="00042127" w:rsidRDefault="00464418" w:rsidP="007A298B">
            <w:pPr>
              <w:spacing w:after="0"/>
              <w:rPr>
                <w:rFonts w:cs="Calibri"/>
              </w:rPr>
            </w:pPr>
            <w:r>
              <w:rPr>
                <w:rFonts w:cs="Calibri"/>
              </w:rPr>
              <w:t>April 2024</w:t>
            </w:r>
          </w:p>
        </w:tc>
      </w:tr>
    </w:tbl>
    <w:p w14:paraId="1F4CA5BA" w14:textId="3780A7D9" w:rsidR="00A577ED" w:rsidRPr="00E447C6" w:rsidRDefault="00A577ED" w:rsidP="00E447C6">
      <w:pPr>
        <w:pStyle w:val="Heading1"/>
        <w:rPr>
          <w:rFonts w:asciiTheme="minorHAnsi" w:hAnsiTheme="minorHAnsi" w:cstheme="minorHAnsi"/>
          <w:b/>
          <w:sz w:val="22"/>
          <w:szCs w:val="22"/>
        </w:rPr>
      </w:pPr>
      <w:r w:rsidRPr="00E447C6">
        <w:rPr>
          <w:rFonts w:asciiTheme="minorHAnsi" w:hAnsiTheme="minorHAnsi" w:cstheme="minorHAnsi"/>
          <w:b/>
          <w:sz w:val="22"/>
          <w:szCs w:val="22"/>
        </w:rPr>
        <w:t>Summary</w:t>
      </w:r>
    </w:p>
    <w:p w14:paraId="074DAB44" w14:textId="65074EBD" w:rsidR="00372F64" w:rsidRDefault="00372F64" w:rsidP="007A298B">
      <w:pPr>
        <w:pStyle w:val="Heading1"/>
        <w:spacing w:after="240"/>
        <w:rPr>
          <w:rFonts w:ascii="Calibri" w:hAnsi="Calibri" w:cs="Calibri"/>
          <w:color w:val="auto"/>
          <w:sz w:val="22"/>
          <w:szCs w:val="22"/>
        </w:rPr>
      </w:pPr>
      <w:bookmarkStart w:id="0" w:name="_Toc164339623"/>
      <w:r w:rsidRPr="11067ABC">
        <w:rPr>
          <w:rFonts w:ascii="Calibri" w:hAnsi="Calibri" w:cs="Calibri"/>
          <w:color w:val="auto"/>
          <w:sz w:val="22"/>
          <w:szCs w:val="22"/>
        </w:rPr>
        <w:t xml:space="preserve">Housing 21 recognises that the safe use of </w:t>
      </w:r>
      <w:r w:rsidR="00BC7EC3" w:rsidRPr="11067ABC">
        <w:rPr>
          <w:rFonts w:ascii="Calibri" w:hAnsi="Calibri" w:cs="Calibri"/>
          <w:color w:val="auto"/>
          <w:sz w:val="22"/>
          <w:szCs w:val="22"/>
        </w:rPr>
        <w:t>mobility vehicle</w:t>
      </w:r>
      <w:r w:rsidR="0047DA45" w:rsidRPr="11067ABC">
        <w:rPr>
          <w:rFonts w:ascii="Calibri" w:hAnsi="Calibri" w:cs="Calibri"/>
          <w:color w:val="auto"/>
          <w:sz w:val="22"/>
          <w:szCs w:val="22"/>
        </w:rPr>
        <w:t>s</w:t>
      </w:r>
      <w:r w:rsidRPr="11067ABC">
        <w:rPr>
          <w:rFonts w:ascii="Calibri" w:hAnsi="Calibri" w:cs="Calibri"/>
          <w:color w:val="auto"/>
          <w:sz w:val="22"/>
          <w:szCs w:val="22"/>
        </w:rPr>
        <w:t xml:space="preserve"> enables its </w:t>
      </w:r>
      <w:r w:rsidR="00FE0FB8">
        <w:rPr>
          <w:rFonts w:ascii="Calibri" w:hAnsi="Calibri" w:cs="Calibri"/>
          <w:color w:val="auto"/>
          <w:sz w:val="22"/>
          <w:szCs w:val="22"/>
        </w:rPr>
        <w:t>residents</w:t>
      </w:r>
      <w:r w:rsidRPr="11067ABC">
        <w:rPr>
          <w:rFonts w:ascii="Calibri" w:hAnsi="Calibri" w:cs="Calibri"/>
          <w:color w:val="auto"/>
          <w:sz w:val="22"/>
          <w:szCs w:val="22"/>
        </w:rPr>
        <w:t xml:space="preserve"> to maintain and increase their independence </w:t>
      </w:r>
      <w:r w:rsidR="00ED54F8" w:rsidRPr="11067ABC">
        <w:rPr>
          <w:rFonts w:ascii="Calibri" w:hAnsi="Calibri" w:cs="Calibri"/>
          <w:color w:val="auto"/>
          <w:sz w:val="22"/>
          <w:szCs w:val="22"/>
        </w:rPr>
        <w:t>and social inclusion, positively impacting on their quality of life.</w:t>
      </w:r>
      <w:bookmarkEnd w:id="0"/>
    </w:p>
    <w:p w14:paraId="7FCD4083" w14:textId="69C1F545" w:rsidR="00372F64" w:rsidRDefault="00C51944" w:rsidP="007A298B">
      <w:pPr>
        <w:pStyle w:val="Heading1"/>
        <w:spacing w:after="240"/>
        <w:rPr>
          <w:rFonts w:ascii="Calibri" w:hAnsi="Calibri" w:cs="Calibri"/>
          <w:color w:val="auto"/>
          <w:sz w:val="22"/>
          <w:szCs w:val="22"/>
        </w:rPr>
      </w:pPr>
      <w:r>
        <w:rPr>
          <w:rFonts w:ascii="Calibri" w:hAnsi="Calibri" w:cs="Calibri"/>
          <w:color w:val="auto"/>
          <w:sz w:val="22"/>
          <w:szCs w:val="22"/>
        </w:rPr>
        <w:t xml:space="preserve">Housing 21 takes the health and safety of its </w:t>
      </w:r>
      <w:r w:rsidR="00FE0FB8">
        <w:rPr>
          <w:rFonts w:ascii="Calibri" w:hAnsi="Calibri" w:cs="Calibri"/>
          <w:color w:val="auto"/>
          <w:sz w:val="22"/>
          <w:szCs w:val="22"/>
        </w:rPr>
        <w:t>residents</w:t>
      </w:r>
      <w:r w:rsidR="001D5069">
        <w:rPr>
          <w:rFonts w:ascii="Calibri" w:hAnsi="Calibri" w:cs="Calibri"/>
          <w:color w:val="auto"/>
          <w:sz w:val="22"/>
          <w:szCs w:val="22"/>
        </w:rPr>
        <w:t xml:space="preserve">, employees, </w:t>
      </w:r>
      <w:r w:rsidR="00300C1E">
        <w:rPr>
          <w:rFonts w:ascii="Calibri" w:hAnsi="Calibri" w:cs="Calibri"/>
          <w:color w:val="auto"/>
          <w:sz w:val="22"/>
          <w:szCs w:val="22"/>
        </w:rPr>
        <w:t>visitors, and</w:t>
      </w:r>
      <w:r w:rsidR="001D5069">
        <w:rPr>
          <w:rFonts w:ascii="Calibri" w:hAnsi="Calibri" w:cs="Calibri"/>
          <w:color w:val="auto"/>
          <w:sz w:val="22"/>
          <w:szCs w:val="22"/>
        </w:rPr>
        <w:t xml:space="preserve"> contractors seriously and encourages responsible </w:t>
      </w:r>
      <w:r w:rsidR="00BC7EC3">
        <w:rPr>
          <w:rFonts w:ascii="Calibri" w:hAnsi="Calibri" w:cs="Calibri"/>
          <w:color w:val="auto"/>
          <w:sz w:val="22"/>
          <w:szCs w:val="22"/>
        </w:rPr>
        <w:t>mobility vehicle</w:t>
      </w:r>
      <w:r w:rsidR="001D5069">
        <w:rPr>
          <w:rFonts w:ascii="Calibri" w:hAnsi="Calibri" w:cs="Calibri"/>
          <w:color w:val="auto"/>
          <w:sz w:val="22"/>
          <w:szCs w:val="22"/>
        </w:rPr>
        <w:t xml:space="preserve"> ownership, use and storage to mitigate health and safety risks.</w:t>
      </w:r>
    </w:p>
    <w:p w14:paraId="125FFD64" w14:textId="253970B0" w:rsidR="008C1BBF" w:rsidRDefault="007774EB" w:rsidP="007A298B">
      <w:pPr>
        <w:pStyle w:val="Heading1"/>
        <w:spacing w:after="240"/>
        <w:rPr>
          <w:rFonts w:ascii="Calibri" w:hAnsi="Calibri" w:cs="Calibri"/>
          <w:color w:val="auto"/>
          <w:sz w:val="22"/>
          <w:szCs w:val="22"/>
        </w:rPr>
      </w:pPr>
      <w:r>
        <w:rPr>
          <w:rFonts w:ascii="Calibri" w:hAnsi="Calibri" w:cs="Calibri"/>
          <w:color w:val="auto"/>
          <w:sz w:val="22"/>
          <w:szCs w:val="22"/>
        </w:rPr>
        <w:t xml:space="preserve">This policy provides guidance on the use and storage of </w:t>
      </w:r>
      <w:r w:rsidR="00BC7EC3">
        <w:rPr>
          <w:rFonts w:ascii="Calibri" w:hAnsi="Calibri" w:cs="Calibri"/>
          <w:color w:val="auto"/>
          <w:sz w:val="22"/>
          <w:szCs w:val="22"/>
        </w:rPr>
        <w:t>mobility vehicle</w:t>
      </w:r>
      <w:r>
        <w:rPr>
          <w:rFonts w:ascii="Calibri" w:hAnsi="Calibri" w:cs="Calibri"/>
          <w:color w:val="auto"/>
          <w:sz w:val="22"/>
          <w:szCs w:val="22"/>
        </w:rPr>
        <w:t>s, how to acquire permission</w:t>
      </w:r>
      <w:r w:rsidR="00372F64">
        <w:rPr>
          <w:rFonts w:ascii="Calibri" w:hAnsi="Calibri" w:cs="Calibri"/>
          <w:color w:val="auto"/>
          <w:sz w:val="22"/>
          <w:szCs w:val="22"/>
        </w:rPr>
        <w:t xml:space="preserve"> from Housing 21</w:t>
      </w:r>
      <w:r>
        <w:rPr>
          <w:rFonts w:ascii="Calibri" w:hAnsi="Calibri" w:cs="Calibri"/>
          <w:color w:val="auto"/>
          <w:sz w:val="22"/>
          <w:szCs w:val="22"/>
        </w:rPr>
        <w:t xml:space="preserve"> for a </w:t>
      </w:r>
      <w:r w:rsidR="00BC7EC3">
        <w:rPr>
          <w:rFonts w:ascii="Calibri" w:hAnsi="Calibri" w:cs="Calibri"/>
          <w:color w:val="auto"/>
          <w:sz w:val="22"/>
          <w:szCs w:val="22"/>
        </w:rPr>
        <w:t>mobility vehicle</w:t>
      </w:r>
      <w:r>
        <w:rPr>
          <w:rFonts w:ascii="Calibri" w:hAnsi="Calibri" w:cs="Calibri"/>
          <w:color w:val="auto"/>
          <w:sz w:val="22"/>
          <w:szCs w:val="22"/>
        </w:rPr>
        <w:t xml:space="preserve"> </w:t>
      </w:r>
      <w:r w:rsidR="00372F64">
        <w:rPr>
          <w:rFonts w:ascii="Calibri" w:hAnsi="Calibri" w:cs="Calibri"/>
          <w:color w:val="auto"/>
          <w:sz w:val="22"/>
          <w:szCs w:val="22"/>
        </w:rPr>
        <w:t>and promotes responsible ownership.</w:t>
      </w:r>
    </w:p>
    <w:p w14:paraId="19530291" w14:textId="402CD123" w:rsidR="00A577ED" w:rsidRPr="00E447C6" w:rsidRDefault="00A577ED" w:rsidP="00E447C6">
      <w:pPr>
        <w:pStyle w:val="Heading2"/>
        <w:rPr>
          <w:rFonts w:asciiTheme="minorHAnsi" w:hAnsiTheme="minorHAnsi" w:cstheme="minorHAnsi"/>
          <w:b/>
          <w:sz w:val="22"/>
          <w:szCs w:val="22"/>
        </w:rPr>
      </w:pPr>
      <w:r w:rsidRPr="00E447C6">
        <w:rPr>
          <w:rFonts w:asciiTheme="minorHAnsi" w:hAnsiTheme="minorHAnsi" w:cstheme="minorHAnsi"/>
          <w:b/>
          <w:sz w:val="22"/>
          <w:szCs w:val="22"/>
        </w:rPr>
        <w:t xml:space="preserve">Equality, Diversity and Inclusion </w:t>
      </w:r>
    </w:p>
    <w:p w14:paraId="3C97A5F1" w14:textId="3D259A28" w:rsidR="00A577ED" w:rsidRPr="00042127" w:rsidRDefault="00A577ED" w:rsidP="007A298B">
      <w:pPr>
        <w:spacing w:after="240"/>
        <w:rPr>
          <w:rFonts w:cs="Calibri"/>
          <w:color w:val="000000" w:themeColor="text1"/>
        </w:rPr>
      </w:pPr>
      <w:r w:rsidRPr="00042127">
        <w:rPr>
          <w:rFonts w:cs="Calibri"/>
          <w:color w:val="000000" w:themeColor="text1"/>
        </w:rPr>
        <w:t>Housing 21 aspires to embed diversity and inclusion within all our organisational activities to enable these principles to become part of our everyday processes.</w:t>
      </w:r>
    </w:p>
    <w:p w14:paraId="124E94CE" w14:textId="77777777" w:rsidR="00CD7DA9" w:rsidRPr="00042127" w:rsidRDefault="00CD7DA9" w:rsidP="007A298B">
      <w:pPr>
        <w:tabs>
          <w:tab w:val="left" w:pos="2320"/>
        </w:tabs>
        <w:spacing w:after="0"/>
        <w:rPr>
          <w:rFonts w:cs="Calibri"/>
        </w:rPr>
      </w:pPr>
    </w:p>
    <w:p w14:paraId="1939DFE4" w14:textId="77777777" w:rsidR="00F43508" w:rsidRDefault="00F43508" w:rsidP="00CD7DA9">
      <w:pPr>
        <w:keepNext/>
        <w:keepLines/>
        <w:spacing w:before="40" w:after="0"/>
        <w:outlineLvl w:val="1"/>
        <w:rPr>
          <w:rFonts w:asciiTheme="minorHAnsi" w:eastAsiaTheme="majorEastAsia" w:hAnsiTheme="minorHAnsi" w:cstheme="minorHAnsi"/>
          <w:b/>
          <w:bCs/>
          <w:color w:val="2F5496" w:themeColor="accent1" w:themeShade="BF"/>
        </w:rPr>
      </w:pPr>
    </w:p>
    <w:p w14:paraId="416D97AF" w14:textId="5A20A160" w:rsidR="00CD7DA9" w:rsidRPr="00CD7DA9" w:rsidRDefault="00F43508" w:rsidP="00CD7DA9">
      <w:pPr>
        <w:keepNext/>
        <w:keepLines/>
        <w:spacing w:before="40" w:after="0"/>
        <w:outlineLvl w:val="1"/>
        <w:rPr>
          <w:rFonts w:asciiTheme="minorHAnsi" w:eastAsiaTheme="majorEastAsia" w:hAnsiTheme="minorHAnsi" w:cstheme="minorHAnsi"/>
          <w:b/>
          <w:bCs/>
          <w:color w:val="2F5496" w:themeColor="accent1" w:themeShade="BF"/>
        </w:rPr>
      </w:pPr>
      <w:r>
        <w:rPr>
          <w:rFonts w:asciiTheme="minorHAnsi" w:eastAsiaTheme="majorEastAsia" w:hAnsiTheme="minorHAnsi" w:cstheme="minorHAnsi"/>
          <w:b/>
          <w:bCs/>
          <w:color w:val="2F5496" w:themeColor="accent1" w:themeShade="BF"/>
        </w:rPr>
        <w:t xml:space="preserve">     </w:t>
      </w:r>
      <w:r w:rsidR="00CD7DA9">
        <w:rPr>
          <w:rFonts w:asciiTheme="minorHAnsi" w:eastAsiaTheme="majorEastAsia" w:hAnsiTheme="minorHAnsi" w:cstheme="minorHAnsi"/>
          <w:b/>
          <w:bCs/>
          <w:color w:val="2F5496" w:themeColor="accent1" w:themeShade="BF"/>
        </w:rPr>
        <w:t>Contents</w:t>
      </w:r>
      <w:r w:rsidR="00CD7DA9" w:rsidRPr="00CD7DA9">
        <w:rPr>
          <w:rFonts w:asciiTheme="minorHAnsi" w:eastAsiaTheme="majorEastAsia" w:hAnsiTheme="minorHAnsi" w:cstheme="minorHAnsi"/>
          <w:b/>
          <w:bCs/>
          <w:color w:val="2F5496" w:themeColor="accent1" w:themeShade="BF"/>
        </w:rPr>
        <w:t xml:space="preserve"> </w:t>
      </w:r>
    </w:p>
    <w:p w14:paraId="0677EEBF" w14:textId="7A4C8BC7" w:rsidR="00C66648" w:rsidRPr="00042127" w:rsidRDefault="00C66648" w:rsidP="007A298B">
      <w:pPr>
        <w:spacing w:after="0"/>
        <w:rPr>
          <w:rFonts w:eastAsiaTheme="minorHAnsi" w:cs="Calibri"/>
          <w:b/>
          <w:bCs/>
        </w:rPr>
      </w:pPr>
    </w:p>
    <w:p w14:paraId="40270AD5" w14:textId="29327340" w:rsidR="00196667" w:rsidRPr="00042127" w:rsidRDefault="00196667" w:rsidP="007A298B">
      <w:pPr>
        <w:pStyle w:val="ListParagraph"/>
        <w:numPr>
          <w:ilvl w:val="0"/>
          <w:numId w:val="2"/>
        </w:numPr>
        <w:spacing w:after="0"/>
        <w:ind w:left="964"/>
        <w:rPr>
          <w:rFonts w:eastAsiaTheme="minorHAnsi" w:cs="Calibri"/>
        </w:rPr>
      </w:pPr>
      <w:r w:rsidRPr="59F48B9E">
        <w:rPr>
          <w:rFonts w:eastAsiaTheme="minorEastAsia" w:cs="Calibri"/>
        </w:rPr>
        <w:t>Aims, Objectives and Approach</w:t>
      </w:r>
    </w:p>
    <w:p w14:paraId="2B66BD31" w14:textId="40BF711A" w:rsidR="00196667" w:rsidRPr="00042127" w:rsidRDefault="00196667" w:rsidP="007A298B">
      <w:pPr>
        <w:pStyle w:val="ListParagraph"/>
        <w:numPr>
          <w:ilvl w:val="0"/>
          <w:numId w:val="2"/>
        </w:numPr>
        <w:spacing w:after="0"/>
        <w:ind w:left="964"/>
        <w:rPr>
          <w:rFonts w:eastAsiaTheme="minorHAnsi" w:cs="Calibri"/>
        </w:rPr>
      </w:pPr>
      <w:r w:rsidRPr="00042127">
        <w:rPr>
          <w:rFonts w:eastAsiaTheme="minorHAnsi" w:cs="Calibri"/>
        </w:rPr>
        <w:t>Scope</w:t>
      </w:r>
    </w:p>
    <w:p w14:paraId="1E0C89F9" w14:textId="1D900A26" w:rsidR="00196667" w:rsidRDefault="00784A34" w:rsidP="007A298B">
      <w:pPr>
        <w:pStyle w:val="ListParagraph"/>
        <w:numPr>
          <w:ilvl w:val="0"/>
          <w:numId w:val="2"/>
        </w:numPr>
        <w:spacing w:after="0"/>
        <w:ind w:left="964"/>
        <w:rPr>
          <w:rFonts w:eastAsiaTheme="minorHAnsi" w:cs="Calibri"/>
        </w:rPr>
      </w:pPr>
      <w:r>
        <w:rPr>
          <w:rFonts w:eastAsiaTheme="minorHAnsi" w:cs="Calibri"/>
        </w:rPr>
        <w:t>Legislation</w:t>
      </w:r>
    </w:p>
    <w:p w14:paraId="5C53BBBD" w14:textId="08A3C7FB" w:rsidR="00566CA9" w:rsidRPr="00042127" w:rsidRDefault="00566CA9" w:rsidP="007A298B">
      <w:pPr>
        <w:pStyle w:val="ListParagraph"/>
        <w:numPr>
          <w:ilvl w:val="0"/>
          <w:numId w:val="2"/>
        </w:numPr>
        <w:spacing w:after="0"/>
        <w:ind w:left="964"/>
        <w:rPr>
          <w:rFonts w:eastAsiaTheme="minorHAnsi" w:cs="Calibri"/>
        </w:rPr>
      </w:pPr>
      <w:r>
        <w:rPr>
          <w:rFonts w:eastAsiaTheme="minorHAnsi" w:cs="Calibri"/>
        </w:rPr>
        <w:t>Management Arrangements</w:t>
      </w:r>
    </w:p>
    <w:p w14:paraId="78702B6A" w14:textId="73B69183" w:rsidR="00196667" w:rsidRPr="00042127" w:rsidRDefault="00196667" w:rsidP="007A298B">
      <w:pPr>
        <w:pStyle w:val="ListParagraph"/>
        <w:numPr>
          <w:ilvl w:val="0"/>
          <w:numId w:val="2"/>
        </w:numPr>
        <w:spacing w:after="0"/>
        <w:ind w:left="964"/>
        <w:rPr>
          <w:rFonts w:eastAsiaTheme="minorHAnsi" w:cs="Calibri"/>
        </w:rPr>
      </w:pPr>
      <w:r w:rsidRPr="00042127">
        <w:rPr>
          <w:rFonts w:eastAsiaTheme="minorHAnsi" w:cs="Calibri"/>
        </w:rPr>
        <w:t>Definitions</w:t>
      </w:r>
    </w:p>
    <w:p w14:paraId="21928503" w14:textId="13156BB1" w:rsidR="00196667" w:rsidRPr="00042127" w:rsidRDefault="00196667" w:rsidP="007A298B">
      <w:pPr>
        <w:pStyle w:val="ListParagraph"/>
        <w:numPr>
          <w:ilvl w:val="0"/>
          <w:numId w:val="2"/>
        </w:numPr>
        <w:spacing w:after="0"/>
        <w:ind w:left="964"/>
        <w:rPr>
          <w:rFonts w:eastAsiaTheme="minorHAnsi" w:cs="Calibri"/>
        </w:rPr>
      </w:pPr>
      <w:r w:rsidRPr="00042127">
        <w:rPr>
          <w:rFonts w:eastAsiaTheme="minorHAnsi" w:cs="Calibri"/>
        </w:rPr>
        <w:t>Further Help and Advice</w:t>
      </w:r>
    </w:p>
    <w:p w14:paraId="6C87F243" w14:textId="578F2A79" w:rsidR="00196667" w:rsidRPr="00042127" w:rsidRDefault="00196667" w:rsidP="007A298B">
      <w:pPr>
        <w:pStyle w:val="ListParagraph"/>
        <w:numPr>
          <w:ilvl w:val="0"/>
          <w:numId w:val="2"/>
        </w:numPr>
        <w:spacing w:after="0"/>
        <w:ind w:left="964"/>
        <w:rPr>
          <w:rFonts w:eastAsiaTheme="minorHAnsi" w:cs="Calibri"/>
        </w:rPr>
      </w:pPr>
      <w:r w:rsidRPr="00042127">
        <w:rPr>
          <w:rFonts w:eastAsiaTheme="minorHAnsi" w:cs="Calibri"/>
        </w:rPr>
        <w:t>Monitoring and Review</w:t>
      </w:r>
    </w:p>
    <w:p w14:paraId="55B6D12D" w14:textId="5278FAEF" w:rsidR="00196667" w:rsidRPr="00042127" w:rsidRDefault="00196667" w:rsidP="007A298B">
      <w:pPr>
        <w:pStyle w:val="ListParagraph"/>
        <w:numPr>
          <w:ilvl w:val="0"/>
          <w:numId w:val="2"/>
        </w:numPr>
        <w:spacing w:after="0"/>
        <w:ind w:left="964"/>
        <w:rPr>
          <w:rFonts w:eastAsiaTheme="minorHAnsi" w:cs="Calibri"/>
        </w:rPr>
      </w:pPr>
      <w:r w:rsidRPr="00042127">
        <w:rPr>
          <w:rFonts w:eastAsiaTheme="minorHAnsi" w:cs="Calibri"/>
        </w:rPr>
        <w:t>Procedures</w:t>
      </w:r>
    </w:p>
    <w:p w14:paraId="4CA8F1CA" w14:textId="77777777" w:rsidR="0067674B" w:rsidRPr="000A4AE0" w:rsidRDefault="0067674B" w:rsidP="007A298B">
      <w:pPr>
        <w:spacing w:after="0"/>
        <w:rPr>
          <w:rFonts w:eastAsiaTheme="minorHAnsi" w:cs="Calibri"/>
          <w:b/>
          <w:bCs/>
        </w:rPr>
      </w:pPr>
    </w:p>
    <w:p w14:paraId="2142CFD4" w14:textId="77777777" w:rsidR="00196667" w:rsidRPr="000A4AE0" w:rsidRDefault="00196667" w:rsidP="007A298B">
      <w:pPr>
        <w:spacing w:after="0"/>
        <w:ind w:left="964"/>
        <w:rPr>
          <w:rFonts w:eastAsia="Times New Roman" w:cs="Calibri"/>
        </w:rPr>
      </w:pPr>
    </w:p>
    <w:p w14:paraId="4D06366D" w14:textId="77777777" w:rsidR="00196667" w:rsidRPr="006B2CDB" w:rsidRDefault="00196667" w:rsidP="007A298B">
      <w:pPr>
        <w:spacing w:after="0"/>
        <w:ind w:left="964"/>
        <w:rPr>
          <w:rFonts w:eastAsiaTheme="minorHAnsi" w:cs="Calibri"/>
        </w:rPr>
      </w:pPr>
    </w:p>
    <w:tbl>
      <w:tblPr>
        <w:tblStyle w:val="TableGrid"/>
        <w:tblW w:w="9776" w:type="dxa"/>
        <w:tblLook w:val="04A0" w:firstRow="1" w:lastRow="0" w:firstColumn="1" w:lastColumn="0" w:noHBand="0" w:noVBand="1"/>
      </w:tblPr>
      <w:tblGrid>
        <w:gridCol w:w="9776"/>
      </w:tblGrid>
      <w:tr w:rsidR="007F0789" w:rsidRPr="000A4AE0" w14:paraId="48886FA9" w14:textId="77777777" w:rsidTr="00997978">
        <w:tc>
          <w:tcPr>
            <w:tcW w:w="9776" w:type="dxa"/>
            <w:shd w:val="clear" w:color="auto" w:fill="BDD6EE" w:themeFill="accent5" w:themeFillTint="66"/>
          </w:tcPr>
          <w:p w14:paraId="189D2917" w14:textId="6FDE4F03" w:rsidR="007F0789" w:rsidRPr="000A4AE0" w:rsidRDefault="007F0789" w:rsidP="007A298B">
            <w:pPr>
              <w:spacing w:after="0"/>
              <w:rPr>
                <w:rFonts w:eastAsiaTheme="minorHAnsi" w:cs="Calibri"/>
                <w:b/>
                <w:bCs/>
                <w:sz w:val="22"/>
                <w:szCs w:val="22"/>
              </w:rPr>
            </w:pPr>
            <w:r w:rsidRPr="000A4AE0">
              <w:rPr>
                <w:rFonts w:eastAsiaTheme="minorHAnsi" w:cs="Calibri"/>
                <w:b/>
                <w:bCs/>
                <w:sz w:val="22"/>
                <w:szCs w:val="22"/>
              </w:rPr>
              <w:t>Legislation/Regulations</w:t>
            </w:r>
          </w:p>
        </w:tc>
      </w:tr>
      <w:tr w:rsidR="007F0789" w:rsidRPr="000A4AE0" w14:paraId="7B3AF680" w14:textId="77777777" w:rsidTr="007F0789">
        <w:tc>
          <w:tcPr>
            <w:tcW w:w="9776" w:type="dxa"/>
          </w:tcPr>
          <w:p w14:paraId="3530881A" w14:textId="1BEBC1B9" w:rsidR="007F0789" w:rsidRPr="006B2CDB" w:rsidRDefault="007F0789" w:rsidP="007A298B">
            <w:pPr>
              <w:spacing w:after="0"/>
              <w:rPr>
                <w:rFonts w:eastAsiaTheme="minorHAnsi" w:cs="Calibri"/>
                <w:sz w:val="22"/>
                <w:szCs w:val="22"/>
              </w:rPr>
            </w:pPr>
            <w:r w:rsidRPr="006B2CDB">
              <w:rPr>
                <w:rFonts w:eastAsiaTheme="minorHAnsi" w:cs="Calibri"/>
                <w:sz w:val="22"/>
                <w:szCs w:val="22"/>
              </w:rPr>
              <w:t>Health and Safety at Work Act 1974</w:t>
            </w:r>
          </w:p>
        </w:tc>
      </w:tr>
      <w:tr w:rsidR="007F0789" w:rsidRPr="000A4AE0" w14:paraId="502B0D99" w14:textId="77777777" w:rsidTr="007F0789">
        <w:tc>
          <w:tcPr>
            <w:tcW w:w="9776" w:type="dxa"/>
          </w:tcPr>
          <w:p w14:paraId="200F8211" w14:textId="430B1FF6" w:rsidR="007F0789" w:rsidRPr="006B2CDB" w:rsidRDefault="007F0789" w:rsidP="007A298B">
            <w:pPr>
              <w:spacing w:after="0"/>
              <w:rPr>
                <w:rFonts w:eastAsiaTheme="minorHAnsi" w:cs="Calibri"/>
                <w:sz w:val="22"/>
                <w:szCs w:val="22"/>
              </w:rPr>
            </w:pPr>
            <w:r w:rsidRPr="006B2CDB">
              <w:rPr>
                <w:rFonts w:eastAsiaTheme="minorHAnsi" w:cs="Calibri"/>
                <w:sz w:val="22"/>
                <w:szCs w:val="22"/>
              </w:rPr>
              <w:t>Use of Invalid Carriages on Highway Regulations 1988</w:t>
            </w:r>
          </w:p>
        </w:tc>
      </w:tr>
      <w:tr w:rsidR="007F0789" w:rsidRPr="000A4AE0" w14:paraId="2B55224D" w14:textId="77777777" w:rsidTr="007F0789">
        <w:tc>
          <w:tcPr>
            <w:tcW w:w="9776" w:type="dxa"/>
          </w:tcPr>
          <w:p w14:paraId="1EB58837" w14:textId="1E820C47" w:rsidR="007F0789" w:rsidRPr="006B2CDB" w:rsidRDefault="007F0789" w:rsidP="007A298B">
            <w:pPr>
              <w:spacing w:after="0"/>
              <w:rPr>
                <w:rFonts w:eastAsiaTheme="minorHAnsi" w:cs="Calibri"/>
                <w:sz w:val="22"/>
                <w:szCs w:val="22"/>
              </w:rPr>
            </w:pPr>
            <w:r w:rsidRPr="006B2CDB">
              <w:rPr>
                <w:rFonts w:eastAsiaTheme="minorHAnsi" w:cs="Calibri"/>
                <w:sz w:val="22"/>
                <w:szCs w:val="22"/>
              </w:rPr>
              <w:t>Management of Health and Safety at Work Regulations 1999</w:t>
            </w:r>
          </w:p>
        </w:tc>
      </w:tr>
      <w:tr w:rsidR="007F0789" w:rsidRPr="000A4AE0" w14:paraId="34A65756" w14:textId="77777777" w:rsidTr="007F0789">
        <w:tc>
          <w:tcPr>
            <w:tcW w:w="9776" w:type="dxa"/>
          </w:tcPr>
          <w:p w14:paraId="7C11B2CB" w14:textId="5ED500F0" w:rsidR="007F0789" w:rsidRPr="006B2CDB" w:rsidRDefault="007D57A6" w:rsidP="007A298B">
            <w:pPr>
              <w:spacing w:after="0"/>
              <w:rPr>
                <w:rFonts w:eastAsiaTheme="minorHAnsi" w:cs="Calibri"/>
                <w:sz w:val="22"/>
                <w:szCs w:val="22"/>
              </w:rPr>
            </w:pPr>
            <w:r w:rsidRPr="006B2CDB">
              <w:rPr>
                <w:rFonts w:eastAsiaTheme="minorHAnsi" w:cs="Calibri"/>
                <w:sz w:val="22"/>
                <w:szCs w:val="22"/>
              </w:rPr>
              <w:t>Regulatory Reform (Fire Safety) Order 2005</w:t>
            </w:r>
            <w:r w:rsidR="00EB6F8B" w:rsidRPr="006B2CDB">
              <w:rPr>
                <w:rFonts w:eastAsiaTheme="minorHAnsi" w:cs="Calibri"/>
                <w:sz w:val="22"/>
                <w:szCs w:val="22"/>
              </w:rPr>
              <w:t xml:space="preserve"> as amended by </w:t>
            </w:r>
            <w:r w:rsidR="00CE329A" w:rsidRPr="006B2CDB">
              <w:rPr>
                <w:rFonts w:eastAsiaTheme="minorHAnsi" w:cs="Calibri"/>
                <w:sz w:val="22"/>
                <w:szCs w:val="22"/>
              </w:rPr>
              <w:t>the Fire Safety Act 2021</w:t>
            </w:r>
          </w:p>
        </w:tc>
      </w:tr>
      <w:tr w:rsidR="007F0789" w:rsidRPr="000A4AE0" w14:paraId="0521539A" w14:textId="77777777" w:rsidTr="007F0789">
        <w:tc>
          <w:tcPr>
            <w:tcW w:w="9776" w:type="dxa"/>
          </w:tcPr>
          <w:p w14:paraId="6C7142B9" w14:textId="6AD516A7" w:rsidR="007F0789" w:rsidRPr="006B2CDB" w:rsidRDefault="007D57A6" w:rsidP="007A298B">
            <w:pPr>
              <w:spacing w:after="0"/>
              <w:rPr>
                <w:rFonts w:eastAsiaTheme="minorHAnsi" w:cs="Calibri"/>
                <w:sz w:val="22"/>
                <w:szCs w:val="22"/>
              </w:rPr>
            </w:pPr>
            <w:r w:rsidRPr="006B2CDB">
              <w:rPr>
                <w:rFonts w:eastAsiaTheme="minorHAnsi" w:cs="Calibri"/>
                <w:sz w:val="22"/>
                <w:szCs w:val="22"/>
              </w:rPr>
              <w:t>Equality Act 2010</w:t>
            </w:r>
          </w:p>
        </w:tc>
      </w:tr>
      <w:tr w:rsidR="007D57A6" w:rsidRPr="000A4AE0" w14:paraId="17BFBFEE" w14:textId="77777777" w:rsidTr="007F0789">
        <w:tc>
          <w:tcPr>
            <w:tcW w:w="9776" w:type="dxa"/>
          </w:tcPr>
          <w:p w14:paraId="3951F20D" w14:textId="4427EB31" w:rsidR="007D57A6" w:rsidRPr="006B2CDB" w:rsidRDefault="008C6EEC" w:rsidP="007A298B">
            <w:pPr>
              <w:spacing w:after="0"/>
              <w:rPr>
                <w:rFonts w:eastAsiaTheme="minorHAnsi" w:cs="Calibri"/>
                <w:sz w:val="22"/>
                <w:szCs w:val="22"/>
              </w:rPr>
            </w:pPr>
            <w:r w:rsidRPr="006B2CDB">
              <w:rPr>
                <w:rFonts w:eastAsiaTheme="minorHAnsi" w:cs="Calibri"/>
                <w:sz w:val="22"/>
                <w:szCs w:val="22"/>
              </w:rPr>
              <w:t>The Care Act 2014</w:t>
            </w:r>
          </w:p>
        </w:tc>
      </w:tr>
      <w:tr w:rsidR="008C6EEC" w:rsidRPr="000A4AE0" w14:paraId="11917775" w14:textId="77777777" w:rsidTr="007F0789">
        <w:tc>
          <w:tcPr>
            <w:tcW w:w="9776" w:type="dxa"/>
          </w:tcPr>
          <w:p w14:paraId="41D132AA" w14:textId="50DA9102" w:rsidR="008C6EEC" w:rsidRPr="006B2CDB" w:rsidRDefault="008C6EEC" w:rsidP="007A298B">
            <w:pPr>
              <w:spacing w:after="0"/>
              <w:rPr>
                <w:rFonts w:eastAsiaTheme="minorHAnsi" w:cs="Calibri"/>
                <w:sz w:val="22"/>
                <w:szCs w:val="22"/>
              </w:rPr>
            </w:pPr>
            <w:r w:rsidRPr="006B2CDB">
              <w:rPr>
                <w:rFonts w:eastAsiaTheme="minorHAnsi" w:cs="Calibri"/>
                <w:sz w:val="22"/>
                <w:szCs w:val="22"/>
              </w:rPr>
              <w:t>The National Fire Chiefs Council Fire Safety in Specialised Housing 2017</w:t>
            </w:r>
          </w:p>
        </w:tc>
      </w:tr>
      <w:tr w:rsidR="00162D01" w:rsidRPr="000A4AE0" w14:paraId="4BB6A68C" w14:textId="77777777" w:rsidTr="007F0789">
        <w:tc>
          <w:tcPr>
            <w:tcW w:w="9776" w:type="dxa"/>
          </w:tcPr>
          <w:p w14:paraId="2067DDDA" w14:textId="4E0D4EE8" w:rsidR="00162D01" w:rsidRPr="006B2CDB" w:rsidRDefault="00162D01" w:rsidP="007A298B">
            <w:pPr>
              <w:spacing w:after="0"/>
              <w:rPr>
                <w:rFonts w:eastAsiaTheme="minorHAnsi" w:cs="Calibri"/>
                <w:sz w:val="22"/>
                <w:szCs w:val="22"/>
              </w:rPr>
            </w:pPr>
            <w:r w:rsidRPr="006B2CDB">
              <w:rPr>
                <w:rFonts w:eastAsiaTheme="minorHAnsi" w:cs="Calibri"/>
                <w:sz w:val="22"/>
                <w:szCs w:val="22"/>
              </w:rPr>
              <w:t xml:space="preserve">The National Fire Chiefs Council </w:t>
            </w:r>
            <w:r w:rsidR="00BC7EC3" w:rsidRPr="006B2CDB">
              <w:rPr>
                <w:rFonts w:eastAsiaTheme="minorHAnsi" w:cs="Calibri"/>
                <w:sz w:val="22"/>
                <w:szCs w:val="22"/>
              </w:rPr>
              <w:t xml:space="preserve">Mobility </w:t>
            </w:r>
            <w:r w:rsidR="00020BAA" w:rsidRPr="006B2CDB">
              <w:rPr>
                <w:rFonts w:eastAsiaTheme="minorHAnsi" w:cs="Calibri"/>
                <w:sz w:val="22"/>
                <w:szCs w:val="22"/>
              </w:rPr>
              <w:t>Vehicle</w:t>
            </w:r>
            <w:r w:rsidRPr="006B2CDB">
              <w:rPr>
                <w:rFonts w:eastAsiaTheme="minorHAnsi" w:cs="Calibri"/>
                <w:sz w:val="22"/>
                <w:szCs w:val="22"/>
              </w:rPr>
              <w:t xml:space="preserve"> Guidance for Residential Buildings 201</w:t>
            </w:r>
            <w:r w:rsidR="00CB3D03" w:rsidRPr="006B2CDB">
              <w:rPr>
                <w:rFonts w:eastAsiaTheme="minorHAnsi" w:cs="Calibri"/>
                <w:sz w:val="22"/>
                <w:szCs w:val="22"/>
              </w:rPr>
              <w:t>8</w:t>
            </w:r>
          </w:p>
        </w:tc>
      </w:tr>
    </w:tbl>
    <w:p w14:paraId="4E5A1344" w14:textId="77777777" w:rsidR="00B070B5" w:rsidRPr="00042127" w:rsidRDefault="00B070B5" w:rsidP="007A298B">
      <w:pPr>
        <w:spacing w:after="0"/>
        <w:rPr>
          <w:rFonts w:eastAsiaTheme="minorHAnsi" w:cs="Calibri"/>
          <w:b/>
          <w:bCs/>
          <w:sz w:val="24"/>
          <w:szCs w:val="24"/>
        </w:rPr>
      </w:pPr>
      <w:r w:rsidRPr="00042127">
        <w:rPr>
          <w:rFonts w:eastAsiaTheme="minorHAnsi" w:cs="Calibri"/>
          <w:b/>
          <w:bCs/>
          <w:sz w:val="24"/>
          <w:szCs w:val="24"/>
        </w:rPr>
        <w:br w:type="page"/>
      </w:r>
    </w:p>
    <w:p w14:paraId="5C519B56" w14:textId="0F6EA0AD" w:rsidR="00533579" w:rsidRPr="00E447C6" w:rsidRDefault="00824D53" w:rsidP="00E447C6">
      <w:pPr>
        <w:pStyle w:val="Heading3"/>
        <w:shd w:val="clear" w:color="auto" w:fill="DEEAF6" w:themeFill="accent5" w:themeFillTint="33"/>
        <w:rPr>
          <w:b/>
          <w:color w:val="000000" w:themeColor="text1"/>
        </w:rPr>
      </w:pPr>
      <w:r w:rsidRPr="00E447C6">
        <w:rPr>
          <w:b/>
          <w:color w:val="000000" w:themeColor="text1"/>
          <w:sz w:val="22"/>
          <w:szCs w:val="22"/>
        </w:rPr>
        <w:lastRenderedPageBreak/>
        <w:t>1</w:t>
      </w:r>
      <w:r w:rsidR="002E7615" w:rsidRPr="00E447C6">
        <w:rPr>
          <w:b/>
          <w:color w:val="000000" w:themeColor="text1"/>
          <w:sz w:val="22"/>
          <w:szCs w:val="22"/>
        </w:rPr>
        <w:t>.</w:t>
      </w:r>
      <w:r w:rsidR="002E7615" w:rsidRPr="00E447C6">
        <w:rPr>
          <w:b/>
          <w:color w:val="000000" w:themeColor="text1"/>
          <w:sz w:val="22"/>
          <w:szCs w:val="22"/>
        </w:rPr>
        <w:tab/>
      </w:r>
      <w:r w:rsidR="00304563" w:rsidRPr="00E447C6">
        <w:rPr>
          <w:b/>
          <w:color w:val="000000" w:themeColor="text1"/>
          <w:sz w:val="22"/>
          <w:szCs w:val="22"/>
        </w:rPr>
        <w:t>Aims, Objectives and Approach</w:t>
      </w:r>
    </w:p>
    <w:p w14:paraId="2ABEFC57" w14:textId="77777777" w:rsidR="00533579" w:rsidRPr="00042127" w:rsidRDefault="00533579" w:rsidP="007A298B">
      <w:pPr>
        <w:pStyle w:val="ListParagraph"/>
        <w:spacing w:after="0"/>
        <w:ind w:left="1080"/>
        <w:rPr>
          <w:rFonts w:eastAsiaTheme="minorHAnsi" w:cs="Calibri"/>
          <w:b/>
          <w:bCs/>
        </w:rPr>
      </w:pPr>
    </w:p>
    <w:p w14:paraId="6838B42B" w14:textId="462D3865" w:rsidR="004A5069" w:rsidRPr="009B6258" w:rsidRDefault="0025300B" w:rsidP="007A298B">
      <w:pPr>
        <w:tabs>
          <w:tab w:val="left" w:pos="426"/>
        </w:tabs>
        <w:spacing w:after="0"/>
        <w:ind w:left="720" w:hanging="720"/>
      </w:pPr>
      <w:r w:rsidRPr="009B6258">
        <w:t>The aims and objectives of this policy are to ensure:</w:t>
      </w:r>
    </w:p>
    <w:p w14:paraId="617840F6" w14:textId="77777777" w:rsidR="0025300B" w:rsidRPr="009B6258" w:rsidRDefault="0025300B" w:rsidP="007A298B">
      <w:pPr>
        <w:tabs>
          <w:tab w:val="left" w:pos="426"/>
        </w:tabs>
        <w:spacing w:after="0"/>
        <w:ind w:left="720" w:hanging="720"/>
      </w:pPr>
    </w:p>
    <w:p w14:paraId="6F87B4ED" w14:textId="046E6E44" w:rsidR="0025300B" w:rsidRPr="009B6258" w:rsidRDefault="00972CDB" w:rsidP="007A298B">
      <w:pPr>
        <w:tabs>
          <w:tab w:val="left" w:pos="426"/>
        </w:tabs>
        <w:spacing w:after="0"/>
        <w:ind w:left="720" w:hanging="720"/>
      </w:pPr>
      <w:r w:rsidRPr="009B6258">
        <w:t>1.1</w:t>
      </w:r>
      <w:r w:rsidRPr="009B6258">
        <w:tab/>
      </w:r>
      <w:r w:rsidR="0025300B" w:rsidRPr="009B6258">
        <w:t>Housing 21 meets its statutory obligations</w:t>
      </w:r>
      <w:r w:rsidRPr="009B6258">
        <w:t>.</w:t>
      </w:r>
    </w:p>
    <w:p w14:paraId="6947F359" w14:textId="5C3FA723" w:rsidR="0025300B" w:rsidRPr="009B6258" w:rsidRDefault="00972CDB" w:rsidP="007A298B">
      <w:pPr>
        <w:tabs>
          <w:tab w:val="left" w:pos="426"/>
        </w:tabs>
        <w:spacing w:after="0"/>
        <w:ind w:left="426" w:hanging="426"/>
      </w:pPr>
      <w:r w:rsidRPr="009B6258">
        <w:t>1.2</w:t>
      </w:r>
      <w:r w:rsidRPr="009B6258">
        <w:tab/>
      </w:r>
      <w:r w:rsidR="00BC7EC3">
        <w:t>Mobility vehicle</w:t>
      </w:r>
      <w:r w:rsidR="0025300B" w:rsidRPr="009B6258">
        <w:t>s</w:t>
      </w:r>
      <w:r w:rsidR="00A82FD9">
        <w:t xml:space="preserve"> are only </w:t>
      </w:r>
      <w:r w:rsidR="0025300B" w:rsidRPr="009B6258">
        <w:t xml:space="preserve">stored in </w:t>
      </w:r>
      <w:r w:rsidR="00BC7EC3">
        <w:t>mobility vehicle</w:t>
      </w:r>
      <w:r w:rsidR="009C089B" w:rsidRPr="009B6258">
        <w:t xml:space="preserve"> stores </w:t>
      </w:r>
      <w:r w:rsidR="00B745E1">
        <w:t xml:space="preserve">or permitted locations </w:t>
      </w:r>
      <w:r w:rsidR="009C089B" w:rsidRPr="009B6258">
        <w:t>and that</w:t>
      </w:r>
      <w:r w:rsidRPr="009B6258">
        <w:t xml:space="preserve"> </w:t>
      </w:r>
      <w:r w:rsidR="009C089B" w:rsidRPr="009B6258">
        <w:t>they do not increase the risk of fire spread or block an escape route in the event of a fire.</w:t>
      </w:r>
    </w:p>
    <w:p w14:paraId="06D0923F" w14:textId="6322D5F9" w:rsidR="009C089B" w:rsidRPr="009B6258" w:rsidRDefault="00972CDB" w:rsidP="007A298B">
      <w:pPr>
        <w:tabs>
          <w:tab w:val="left" w:pos="426"/>
        </w:tabs>
        <w:spacing w:after="0"/>
        <w:ind w:left="426" w:hanging="426"/>
      </w:pPr>
      <w:r w:rsidRPr="009B6258">
        <w:t>1.3</w:t>
      </w:r>
      <w:r w:rsidRPr="009B6258">
        <w:tab/>
      </w:r>
      <w:r w:rsidR="009C089B" w:rsidRPr="009B6258">
        <w:t xml:space="preserve">Clear guidance is provided on the safe use and storage in relation to </w:t>
      </w:r>
      <w:r w:rsidR="00BC7EC3">
        <w:t>mobility vehicle</w:t>
      </w:r>
      <w:r w:rsidR="009C089B" w:rsidRPr="009B6258">
        <w:t xml:space="preserve">s in </w:t>
      </w:r>
      <w:r w:rsidR="00BC7EC3">
        <w:t>mobility vehicle</w:t>
      </w:r>
      <w:r w:rsidR="009C089B" w:rsidRPr="009B6258">
        <w:t xml:space="preserve"> stores and permitted </w:t>
      </w:r>
      <w:r w:rsidR="001D227A" w:rsidRPr="009B6258">
        <w:t>locations in retirement living and extra care schemes.</w:t>
      </w:r>
    </w:p>
    <w:p w14:paraId="0E42745A" w14:textId="0187ABD1" w:rsidR="00657302" w:rsidRPr="009B6258" w:rsidRDefault="00972CDB" w:rsidP="007A298B">
      <w:pPr>
        <w:tabs>
          <w:tab w:val="left" w:pos="426"/>
        </w:tabs>
        <w:spacing w:after="0"/>
        <w:ind w:left="426" w:hanging="426"/>
      </w:pPr>
      <w:r>
        <w:t>1.4</w:t>
      </w:r>
      <w:r>
        <w:tab/>
      </w:r>
      <w:r w:rsidR="77E62CC6">
        <w:t>T</w:t>
      </w:r>
      <w:r w:rsidR="0032230B">
        <w:t xml:space="preserve">hat before a </w:t>
      </w:r>
      <w:r w:rsidR="00BC7EC3">
        <w:t>mobility vehicle</w:t>
      </w:r>
      <w:r w:rsidR="0032230B">
        <w:t xml:space="preserve"> is purchased </w:t>
      </w:r>
      <w:r w:rsidR="00210ADE">
        <w:t>or</w:t>
      </w:r>
      <w:r w:rsidR="0032230B">
        <w:t xml:space="preserve"> leased</w:t>
      </w:r>
      <w:r w:rsidR="00CD34CA">
        <w:t xml:space="preserve"> </w:t>
      </w:r>
      <w:r w:rsidR="00FE0FB8">
        <w:t>residents</w:t>
      </w:r>
      <w:r w:rsidR="00657302">
        <w:t xml:space="preserve"> are provided with advice </w:t>
      </w:r>
      <w:r w:rsidR="00CD34CA">
        <w:t>on the storage space options available to them</w:t>
      </w:r>
      <w:r w:rsidR="00657302">
        <w:t xml:space="preserve">.  </w:t>
      </w:r>
    </w:p>
    <w:p w14:paraId="0A30943D" w14:textId="17040C84" w:rsidR="00210ADE" w:rsidRPr="009B6258" w:rsidRDefault="00972CDB" w:rsidP="007A298B">
      <w:pPr>
        <w:tabs>
          <w:tab w:val="left" w:pos="426"/>
        </w:tabs>
        <w:spacing w:after="0"/>
        <w:ind w:left="426" w:hanging="426"/>
      </w:pPr>
      <w:r>
        <w:t>1.5</w:t>
      </w:r>
      <w:r>
        <w:tab/>
      </w:r>
      <w:r w:rsidR="266841F3">
        <w:t>T</w:t>
      </w:r>
      <w:r w:rsidR="00010BB0">
        <w:t xml:space="preserve">hat once permission has been given, </w:t>
      </w:r>
      <w:r w:rsidR="00FE0FB8">
        <w:t>residents</w:t>
      </w:r>
      <w:r w:rsidR="00210ADE">
        <w:t xml:space="preserve"> adhere to their responsibilities relating to the storage, charging and use of </w:t>
      </w:r>
      <w:r w:rsidR="00BC7EC3">
        <w:t>mobility vehicle</w:t>
      </w:r>
      <w:r w:rsidR="00010BB0">
        <w:t>s</w:t>
      </w:r>
      <w:r>
        <w:t>.</w:t>
      </w:r>
    </w:p>
    <w:p w14:paraId="0404F635" w14:textId="4388BCDA" w:rsidR="00010BB0" w:rsidRPr="009B6258" w:rsidRDefault="00972CDB" w:rsidP="007A298B">
      <w:pPr>
        <w:tabs>
          <w:tab w:val="left" w:pos="426"/>
        </w:tabs>
        <w:spacing w:after="0"/>
        <w:ind w:left="426" w:hanging="426"/>
        <w:rPr>
          <w:rFonts w:asciiTheme="minorHAnsi" w:eastAsiaTheme="minorHAnsi" w:hAnsiTheme="minorHAnsi" w:cstheme="minorBidi"/>
        </w:rPr>
      </w:pPr>
      <w:r w:rsidRPr="009B6258">
        <w:t>1.6</w:t>
      </w:r>
      <w:r w:rsidRPr="009B6258">
        <w:tab/>
      </w:r>
      <w:r w:rsidR="00FE0FB8">
        <w:t>Residents</w:t>
      </w:r>
      <w:r w:rsidR="003C5D8E" w:rsidRPr="009B6258">
        <w:t xml:space="preserve"> and </w:t>
      </w:r>
      <w:r w:rsidR="00FE0FB8">
        <w:t>residents</w:t>
      </w:r>
      <w:r w:rsidR="003C5D8E" w:rsidRPr="009B6258">
        <w:t xml:space="preserve"> are aware that they are liable for any injury caused to another person, damage to </w:t>
      </w:r>
      <w:r w:rsidR="00BC7EC3">
        <w:t>mobility vehicle</w:t>
      </w:r>
      <w:r w:rsidRPr="009B6258">
        <w:t xml:space="preserve"> stores, communal areas and/or other H</w:t>
      </w:r>
      <w:r w:rsidR="007E2544">
        <w:t xml:space="preserve">ousing </w:t>
      </w:r>
      <w:r w:rsidRPr="009B6258">
        <w:t xml:space="preserve">21 property </w:t>
      </w:r>
      <w:r w:rsidR="00BA5AB0" w:rsidRPr="009B6258">
        <w:t xml:space="preserve">as a result of </w:t>
      </w:r>
      <w:r w:rsidRPr="009B6258">
        <w:t xml:space="preserve">their use of a </w:t>
      </w:r>
      <w:r w:rsidR="00BC7EC3">
        <w:t>mobility vehicle</w:t>
      </w:r>
      <w:r w:rsidRPr="009B6258">
        <w:t>.</w:t>
      </w:r>
    </w:p>
    <w:p w14:paraId="6264D599" w14:textId="77777777" w:rsidR="004A5069" w:rsidRDefault="004A5069" w:rsidP="007A298B">
      <w:pPr>
        <w:pStyle w:val="ListParagraph"/>
        <w:spacing w:after="0"/>
        <w:rPr>
          <w:rFonts w:eastAsiaTheme="minorHAnsi" w:cs="Calibri"/>
          <w:b/>
          <w:bCs/>
        </w:rPr>
      </w:pPr>
    </w:p>
    <w:p w14:paraId="1C83F7E5" w14:textId="77777777" w:rsidR="00534D05" w:rsidRDefault="00534D05" w:rsidP="007A298B">
      <w:pPr>
        <w:pStyle w:val="ListParagraph"/>
        <w:spacing w:after="0"/>
        <w:rPr>
          <w:rFonts w:eastAsiaTheme="minorHAnsi" w:cs="Calibri"/>
          <w:b/>
          <w:bCs/>
        </w:rPr>
      </w:pPr>
    </w:p>
    <w:p w14:paraId="1711DFBB" w14:textId="77777777" w:rsidR="00534D05" w:rsidRPr="00042127" w:rsidRDefault="00534D05" w:rsidP="007A298B">
      <w:pPr>
        <w:pStyle w:val="ListParagraph"/>
        <w:spacing w:after="0"/>
        <w:rPr>
          <w:rFonts w:eastAsiaTheme="minorHAnsi" w:cs="Calibri"/>
          <w:b/>
          <w:bCs/>
        </w:rPr>
      </w:pPr>
    </w:p>
    <w:p w14:paraId="4F37FD74" w14:textId="51080641" w:rsidR="00382A22" w:rsidRPr="00E447C6" w:rsidRDefault="003255CA" w:rsidP="00E447C6">
      <w:pPr>
        <w:pStyle w:val="Heading4"/>
        <w:shd w:val="clear" w:color="auto" w:fill="DEEAF6" w:themeFill="accent5" w:themeFillTint="33"/>
        <w:rPr>
          <w:b/>
          <w:color w:val="000000" w:themeColor="text1"/>
        </w:rPr>
      </w:pPr>
      <w:r w:rsidRPr="00E447C6">
        <w:rPr>
          <w:b/>
          <w:i w:val="0"/>
          <w:color w:val="000000" w:themeColor="text1"/>
        </w:rPr>
        <w:t>2.</w:t>
      </w:r>
      <w:r w:rsidRPr="00E447C6">
        <w:rPr>
          <w:b/>
          <w:i w:val="0"/>
          <w:color w:val="000000" w:themeColor="text1"/>
        </w:rPr>
        <w:tab/>
      </w:r>
      <w:r w:rsidR="00907941" w:rsidRPr="00E447C6">
        <w:rPr>
          <w:b/>
          <w:i w:val="0"/>
          <w:color w:val="000000" w:themeColor="text1"/>
        </w:rPr>
        <w:t>Scope</w:t>
      </w:r>
    </w:p>
    <w:p w14:paraId="2FC42373" w14:textId="77777777" w:rsidR="00C81725" w:rsidRDefault="00C81725" w:rsidP="007A298B">
      <w:pPr>
        <w:spacing w:after="0"/>
        <w:ind w:left="720" w:hanging="720"/>
        <w:rPr>
          <w:rFonts w:eastAsiaTheme="minorHAnsi" w:cs="Calibri"/>
        </w:rPr>
      </w:pPr>
    </w:p>
    <w:p w14:paraId="7CD1B2E2" w14:textId="7BF0CABD" w:rsidR="00604E7C" w:rsidRDefault="007E4A2B" w:rsidP="007A298B">
      <w:pPr>
        <w:spacing w:after="0"/>
        <w:rPr>
          <w:rFonts w:eastAsiaTheme="minorHAnsi" w:cs="Calibri"/>
          <w:color w:val="000000" w:themeColor="text1"/>
        </w:rPr>
      </w:pPr>
      <w:r>
        <w:rPr>
          <w:rFonts w:eastAsiaTheme="minorHAnsi" w:cs="Calibri"/>
          <w:color w:val="000000" w:themeColor="text1"/>
        </w:rPr>
        <w:t xml:space="preserve">Housing 21 acknowledges that </w:t>
      </w:r>
      <w:r w:rsidR="00FE0FB8">
        <w:rPr>
          <w:rFonts w:eastAsiaTheme="minorHAnsi" w:cs="Calibri"/>
          <w:color w:val="000000" w:themeColor="text1"/>
        </w:rPr>
        <w:t>residents</w:t>
      </w:r>
      <w:r>
        <w:rPr>
          <w:rFonts w:eastAsiaTheme="minorHAnsi" w:cs="Calibri"/>
          <w:color w:val="000000" w:themeColor="text1"/>
        </w:rPr>
        <w:t xml:space="preserve"> should</w:t>
      </w:r>
      <w:r w:rsidR="00FE0FB8">
        <w:rPr>
          <w:rFonts w:eastAsiaTheme="minorHAnsi" w:cs="Calibri"/>
          <w:color w:val="000000" w:themeColor="text1"/>
        </w:rPr>
        <w:t xml:space="preserve"> </w:t>
      </w:r>
      <w:r>
        <w:rPr>
          <w:rFonts w:eastAsiaTheme="minorHAnsi" w:cs="Calibri"/>
          <w:color w:val="000000" w:themeColor="text1"/>
        </w:rPr>
        <w:t xml:space="preserve">have a quality of life which allows for the provision of full mobility; including the right to own a </w:t>
      </w:r>
      <w:r w:rsidR="00BC7EC3">
        <w:rPr>
          <w:rFonts w:eastAsiaTheme="minorHAnsi" w:cs="Calibri"/>
          <w:color w:val="000000" w:themeColor="text1"/>
        </w:rPr>
        <w:t>mobility vehicle</w:t>
      </w:r>
      <w:r>
        <w:rPr>
          <w:rFonts w:eastAsiaTheme="minorHAnsi" w:cs="Calibri"/>
          <w:color w:val="000000" w:themeColor="text1"/>
        </w:rPr>
        <w:t xml:space="preserve"> or electric powered wheelchair.</w:t>
      </w:r>
    </w:p>
    <w:p w14:paraId="1D08C3E3" w14:textId="77777777" w:rsidR="00CE329A" w:rsidRDefault="00CE329A" w:rsidP="007A298B">
      <w:pPr>
        <w:spacing w:after="0"/>
        <w:rPr>
          <w:rFonts w:eastAsiaTheme="minorHAnsi" w:cs="Calibri"/>
          <w:color w:val="000000" w:themeColor="text1"/>
        </w:rPr>
      </w:pPr>
    </w:p>
    <w:p w14:paraId="133F3387" w14:textId="4CABD4F4" w:rsidR="001F441E" w:rsidRDefault="001F441E" w:rsidP="007A298B">
      <w:pPr>
        <w:spacing w:after="0"/>
        <w:rPr>
          <w:rFonts w:eastAsiaTheme="minorHAnsi" w:cs="Calibri"/>
          <w:color w:val="000000" w:themeColor="text1"/>
        </w:rPr>
      </w:pPr>
      <w:r>
        <w:rPr>
          <w:rFonts w:eastAsiaTheme="minorHAnsi" w:cs="Calibri"/>
          <w:color w:val="000000" w:themeColor="text1"/>
        </w:rPr>
        <w:t xml:space="preserve">Electric powered wheelchairs </w:t>
      </w:r>
      <w:r w:rsidR="004B6640">
        <w:rPr>
          <w:rFonts w:eastAsiaTheme="minorHAnsi" w:cs="Calibri"/>
          <w:color w:val="000000" w:themeColor="text1"/>
        </w:rPr>
        <w:t>are typically provided to people with disabili</w:t>
      </w:r>
      <w:r w:rsidR="0034792B">
        <w:rPr>
          <w:rFonts w:eastAsiaTheme="minorHAnsi" w:cs="Calibri"/>
          <w:color w:val="000000" w:themeColor="text1"/>
        </w:rPr>
        <w:t xml:space="preserve">ties to provide mobile access both indoors and outdoors. </w:t>
      </w:r>
      <w:r w:rsidR="00BC7EC3">
        <w:rPr>
          <w:rFonts w:eastAsiaTheme="minorHAnsi" w:cs="Calibri"/>
          <w:color w:val="000000" w:themeColor="text1"/>
        </w:rPr>
        <w:t>Mobility vehicle</w:t>
      </w:r>
      <w:r w:rsidR="0034792B">
        <w:rPr>
          <w:rFonts w:eastAsiaTheme="minorHAnsi" w:cs="Calibri"/>
          <w:color w:val="000000" w:themeColor="text1"/>
        </w:rPr>
        <w:t xml:space="preserve">s were introduced to provide local outdoor mobility for people with disabilities who might otherwise be confined to their home.  </w:t>
      </w:r>
    </w:p>
    <w:p w14:paraId="614F65BE" w14:textId="77777777" w:rsidR="003C7FA7" w:rsidRDefault="003C7FA7" w:rsidP="007A298B">
      <w:pPr>
        <w:spacing w:after="0"/>
        <w:rPr>
          <w:rFonts w:eastAsiaTheme="minorHAnsi" w:cs="Calibri"/>
          <w:color w:val="000000" w:themeColor="text1"/>
        </w:rPr>
      </w:pPr>
    </w:p>
    <w:p w14:paraId="688DA924" w14:textId="1B9C0F1A" w:rsidR="0034792B" w:rsidRPr="001B40C6" w:rsidRDefault="0034792B" w:rsidP="007A298B">
      <w:pPr>
        <w:spacing w:after="0"/>
        <w:rPr>
          <w:rFonts w:eastAsiaTheme="minorHAnsi" w:cs="Calibri"/>
          <w:color w:val="000000" w:themeColor="text1"/>
        </w:rPr>
      </w:pPr>
      <w:r>
        <w:rPr>
          <w:rFonts w:eastAsiaTheme="minorHAnsi" w:cs="Calibri"/>
          <w:color w:val="000000" w:themeColor="text1"/>
        </w:rPr>
        <w:t>For the purposes of the policy, these pieces of equipment will be referred to a</w:t>
      </w:r>
      <w:r w:rsidR="001747AA">
        <w:rPr>
          <w:rFonts w:eastAsiaTheme="minorHAnsi" w:cs="Calibri"/>
          <w:color w:val="000000" w:themeColor="text1"/>
        </w:rPr>
        <w:t>s</w:t>
      </w:r>
      <w:r>
        <w:rPr>
          <w:rFonts w:eastAsiaTheme="minorHAnsi" w:cs="Calibri"/>
          <w:color w:val="000000" w:themeColor="text1"/>
        </w:rPr>
        <w:t xml:space="preserve"> mobility </w:t>
      </w:r>
      <w:r w:rsidR="001747AA">
        <w:rPr>
          <w:rFonts w:eastAsiaTheme="minorHAnsi" w:cs="Calibri"/>
          <w:color w:val="000000" w:themeColor="text1"/>
        </w:rPr>
        <w:t>vehicles</w:t>
      </w:r>
      <w:r>
        <w:rPr>
          <w:rFonts w:eastAsiaTheme="minorHAnsi" w:cs="Calibri"/>
          <w:color w:val="000000" w:themeColor="text1"/>
        </w:rPr>
        <w:t>.</w:t>
      </w:r>
    </w:p>
    <w:p w14:paraId="108E4C01" w14:textId="77777777" w:rsidR="00534D05" w:rsidRDefault="00534D05" w:rsidP="007A298B">
      <w:pPr>
        <w:spacing w:after="0"/>
        <w:ind w:left="1800"/>
        <w:contextualSpacing/>
        <w:rPr>
          <w:rFonts w:eastAsiaTheme="minorHAnsi" w:cs="Calibri"/>
          <w:b/>
          <w:bCs/>
        </w:rPr>
      </w:pPr>
    </w:p>
    <w:p w14:paraId="5198DF71" w14:textId="77777777" w:rsidR="00CD1BDB" w:rsidRDefault="00CD1BDB" w:rsidP="007A298B">
      <w:pPr>
        <w:spacing w:after="0"/>
        <w:ind w:left="1800"/>
        <w:contextualSpacing/>
        <w:rPr>
          <w:rFonts w:eastAsiaTheme="minorHAnsi" w:cs="Calibri"/>
          <w:b/>
          <w:bCs/>
        </w:rPr>
      </w:pPr>
    </w:p>
    <w:p w14:paraId="76382FEC" w14:textId="77777777" w:rsidR="004E15AC" w:rsidRPr="00042127" w:rsidRDefault="004E15AC" w:rsidP="007A298B">
      <w:pPr>
        <w:spacing w:after="0"/>
        <w:ind w:left="1800"/>
        <w:contextualSpacing/>
        <w:rPr>
          <w:rFonts w:eastAsiaTheme="minorHAnsi" w:cs="Calibri"/>
          <w:b/>
          <w:bCs/>
        </w:rPr>
      </w:pPr>
    </w:p>
    <w:p w14:paraId="2B4B0654" w14:textId="3CEE1AC9" w:rsidR="00382A22" w:rsidRPr="00E447C6" w:rsidRDefault="008A2CA7" w:rsidP="00E447C6">
      <w:pPr>
        <w:pStyle w:val="Heading5"/>
        <w:shd w:val="clear" w:color="auto" w:fill="DEEAF6" w:themeFill="accent5" w:themeFillTint="33"/>
        <w:rPr>
          <w:b/>
          <w:color w:val="000000" w:themeColor="text1"/>
        </w:rPr>
      </w:pPr>
      <w:r w:rsidRPr="00E447C6">
        <w:rPr>
          <w:b/>
          <w:color w:val="000000" w:themeColor="text1"/>
        </w:rPr>
        <w:t>3</w:t>
      </w:r>
      <w:r w:rsidRPr="00E447C6">
        <w:rPr>
          <w:b/>
          <w:color w:val="000000" w:themeColor="text1"/>
          <w:shd w:val="clear" w:color="auto" w:fill="D9E2F3" w:themeFill="accent1" w:themeFillTint="33"/>
        </w:rPr>
        <w:t>.</w:t>
      </w:r>
      <w:r w:rsidRPr="00E447C6">
        <w:rPr>
          <w:b/>
          <w:color w:val="000000" w:themeColor="text1"/>
          <w:shd w:val="clear" w:color="auto" w:fill="D9E2F3" w:themeFill="accent1" w:themeFillTint="33"/>
        </w:rPr>
        <w:tab/>
      </w:r>
      <w:r w:rsidR="00033A24" w:rsidRPr="00E447C6">
        <w:rPr>
          <w:b/>
          <w:color w:val="000000" w:themeColor="text1"/>
          <w:shd w:val="clear" w:color="auto" w:fill="D9E2F3" w:themeFill="accent1" w:themeFillTint="33"/>
        </w:rPr>
        <w:t>Legislation</w:t>
      </w:r>
      <w:r w:rsidR="00907941" w:rsidRPr="00E447C6">
        <w:rPr>
          <w:b/>
          <w:color w:val="000000" w:themeColor="text1"/>
        </w:rPr>
        <w:t xml:space="preserve"> </w:t>
      </w:r>
    </w:p>
    <w:p w14:paraId="7900622C" w14:textId="77777777" w:rsidR="005314E4" w:rsidRDefault="005314E4" w:rsidP="007A298B">
      <w:pPr>
        <w:spacing w:after="0"/>
        <w:rPr>
          <w:rFonts w:eastAsiaTheme="minorHAnsi" w:cs="Calibri"/>
        </w:rPr>
      </w:pPr>
    </w:p>
    <w:p w14:paraId="32691BCC" w14:textId="0C0D165C" w:rsidR="00033A24" w:rsidRDefault="00033A24" w:rsidP="007A298B">
      <w:pPr>
        <w:spacing w:after="0"/>
        <w:rPr>
          <w:rFonts w:eastAsiaTheme="minorHAnsi" w:cs="Calibri"/>
        </w:rPr>
      </w:pPr>
      <w:r>
        <w:rPr>
          <w:rFonts w:eastAsiaTheme="minorHAnsi" w:cs="Calibri"/>
        </w:rPr>
        <w:t>This policy has considered the relevant legislation and applies to all buildings owned or managed by Housing 21. Responsibility for complying with the Regulatory Reform (Fire Safety) Order 2005 rests with Housing 21 as the ‘Responsible Person’.</w:t>
      </w:r>
    </w:p>
    <w:p w14:paraId="070DDEF7" w14:textId="77777777" w:rsidR="004E15AC" w:rsidRDefault="004E15AC" w:rsidP="007A298B">
      <w:pPr>
        <w:spacing w:after="0"/>
        <w:rPr>
          <w:rFonts w:eastAsiaTheme="minorHAnsi" w:cs="Calibri"/>
        </w:rPr>
      </w:pPr>
    </w:p>
    <w:p w14:paraId="4BA274D6" w14:textId="4AB69C88" w:rsidR="00033A24" w:rsidRDefault="00033A24" w:rsidP="007A298B">
      <w:pPr>
        <w:spacing w:after="0"/>
        <w:rPr>
          <w:rFonts w:eastAsiaTheme="minorHAnsi" w:cs="Calibri"/>
        </w:rPr>
      </w:pPr>
      <w:r>
        <w:rPr>
          <w:rFonts w:eastAsiaTheme="minorHAnsi" w:cs="Calibri"/>
        </w:rPr>
        <w:t xml:space="preserve">The Fire Safety Order </w:t>
      </w:r>
      <w:r w:rsidR="0021790A" w:rsidRPr="00C9710E">
        <w:rPr>
          <w:rFonts w:eastAsiaTheme="minorHAnsi" w:cs="Calibri"/>
        </w:rPr>
        <w:t xml:space="preserve">as amended by the Fire Safety Act </w:t>
      </w:r>
      <w:r w:rsidR="006C012C" w:rsidRPr="00C9710E">
        <w:rPr>
          <w:rFonts w:eastAsiaTheme="minorHAnsi" w:cs="Calibri"/>
        </w:rPr>
        <w:t>2021</w:t>
      </w:r>
      <w:r w:rsidRPr="00C9710E">
        <w:rPr>
          <w:rFonts w:eastAsiaTheme="minorHAnsi" w:cs="Calibri"/>
        </w:rPr>
        <w:t xml:space="preserve"> </w:t>
      </w:r>
      <w:r w:rsidR="006C012C" w:rsidRPr="006C012C">
        <w:rPr>
          <w:rFonts w:eastAsiaTheme="minorHAnsi" w:cs="Calibri"/>
          <w:color w:val="000000" w:themeColor="text1"/>
        </w:rPr>
        <w:t>c</w:t>
      </w:r>
      <w:r w:rsidRPr="006C012C">
        <w:rPr>
          <w:rFonts w:eastAsiaTheme="minorHAnsi" w:cs="Calibri"/>
          <w:color w:val="000000" w:themeColor="text1"/>
        </w:rPr>
        <w:t>overs</w:t>
      </w:r>
      <w:r>
        <w:rPr>
          <w:rFonts w:eastAsiaTheme="minorHAnsi" w:cs="Calibri"/>
          <w:color w:val="000000" w:themeColor="text1"/>
        </w:rPr>
        <w:t xml:space="preserve"> ‘general fire precautions and other fire safety duties that are required to protect ‘relevant persons’ in case of fire in and around ‘most </w:t>
      </w:r>
      <w:r w:rsidR="00FE0FB8">
        <w:rPr>
          <w:rFonts w:eastAsiaTheme="minorHAnsi" w:cs="Calibri"/>
          <w:color w:val="000000" w:themeColor="text1"/>
        </w:rPr>
        <w:t>premises’</w:t>
      </w:r>
      <w:r>
        <w:rPr>
          <w:rFonts w:eastAsiaTheme="minorHAnsi" w:cs="Calibri"/>
          <w:color w:val="000000" w:themeColor="text1"/>
        </w:rPr>
        <w:t>. The Order requires fire precautions to be put in place ‘where necessary’ and to the extent that it is reasonable and practicable</w:t>
      </w:r>
      <w:r w:rsidR="004E15AC">
        <w:rPr>
          <w:rFonts w:eastAsiaTheme="minorHAnsi" w:cs="Calibri"/>
          <w:color w:val="000000" w:themeColor="text1"/>
        </w:rPr>
        <w:t>.</w:t>
      </w:r>
    </w:p>
    <w:p w14:paraId="22588FD6" w14:textId="26D6D888" w:rsidR="005B1FDB" w:rsidRDefault="00234F3B" w:rsidP="007A298B">
      <w:pPr>
        <w:tabs>
          <w:tab w:val="left" w:pos="426"/>
        </w:tabs>
        <w:spacing w:before="240" w:after="160"/>
        <w:ind w:left="1440" w:hanging="1440"/>
        <w:contextualSpacing/>
        <w:rPr>
          <w:rFonts w:asciiTheme="minorHAnsi" w:eastAsiaTheme="minorHAnsi" w:hAnsiTheme="minorHAnsi" w:cstheme="minorBidi"/>
        </w:rPr>
      </w:pPr>
      <w:r>
        <w:rPr>
          <w:rFonts w:asciiTheme="minorHAnsi" w:eastAsiaTheme="minorHAnsi" w:hAnsiTheme="minorHAnsi" w:cstheme="minorBidi"/>
        </w:rPr>
        <w:tab/>
      </w:r>
    </w:p>
    <w:p w14:paraId="275AB4DC" w14:textId="269AC3EA" w:rsidR="00037CCF" w:rsidRPr="00E447C6" w:rsidRDefault="00566CA9" w:rsidP="00E447C6">
      <w:pPr>
        <w:pStyle w:val="Heading6"/>
        <w:shd w:val="clear" w:color="auto" w:fill="DEEAF6" w:themeFill="accent5" w:themeFillTint="33"/>
        <w:rPr>
          <w:b/>
          <w:color w:val="000000" w:themeColor="text1"/>
        </w:rPr>
      </w:pPr>
      <w:r w:rsidRPr="00E447C6">
        <w:rPr>
          <w:b/>
          <w:color w:val="000000" w:themeColor="text1"/>
        </w:rPr>
        <w:lastRenderedPageBreak/>
        <w:t>4.</w:t>
      </w:r>
      <w:r w:rsidRPr="00E447C6">
        <w:rPr>
          <w:b/>
          <w:color w:val="000000" w:themeColor="text1"/>
        </w:rPr>
        <w:tab/>
      </w:r>
      <w:r w:rsidR="00301FE8" w:rsidRPr="00E447C6">
        <w:rPr>
          <w:b/>
          <w:color w:val="000000" w:themeColor="text1"/>
        </w:rPr>
        <w:t>Management arrangements</w:t>
      </w:r>
    </w:p>
    <w:p w14:paraId="08E4D169" w14:textId="5E8BB9E5" w:rsidR="00923F92" w:rsidRDefault="00923F92" w:rsidP="007A298B">
      <w:pPr>
        <w:spacing w:after="0"/>
        <w:rPr>
          <w:rFonts w:eastAsiaTheme="minorHAnsi" w:cs="Calibri"/>
        </w:rPr>
      </w:pPr>
    </w:p>
    <w:p w14:paraId="31677563" w14:textId="61972857" w:rsidR="00301FE8" w:rsidRPr="00E21D89" w:rsidRDefault="00566CA9" w:rsidP="007A298B">
      <w:pPr>
        <w:spacing w:after="0"/>
        <w:rPr>
          <w:rFonts w:eastAsiaTheme="minorHAnsi" w:cs="Calibri"/>
          <w:b/>
          <w:bCs/>
        </w:rPr>
      </w:pPr>
      <w:r>
        <w:rPr>
          <w:rFonts w:eastAsiaTheme="minorHAnsi" w:cs="Calibri"/>
          <w:b/>
          <w:bCs/>
        </w:rPr>
        <w:t>4.1</w:t>
      </w:r>
      <w:r>
        <w:rPr>
          <w:rFonts w:eastAsiaTheme="minorHAnsi" w:cs="Calibri"/>
          <w:b/>
          <w:bCs/>
        </w:rPr>
        <w:tab/>
      </w:r>
      <w:r w:rsidR="007D7C10" w:rsidRPr="00E21D89">
        <w:rPr>
          <w:rFonts w:eastAsiaTheme="minorHAnsi" w:cs="Calibri"/>
          <w:b/>
          <w:bCs/>
        </w:rPr>
        <w:t>Allocation of space</w:t>
      </w:r>
    </w:p>
    <w:p w14:paraId="518ADD34" w14:textId="77777777" w:rsidR="000B69B1" w:rsidRDefault="000B69B1" w:rsidP="11067ABC">
      <w:pPr>
        <w:spacing w:after="0"/>
        <w:rPr>
          <w:rFonts w:eastAsiaTheme="minorEastAsia" w:cs="Calibri"/>
        </w:rPr>
      </w:pPr>
    </w:p>
    <w:p w14:paraId="16B04229" w14:textId="66B5CD98" w:rsidR="007D7C10" w:rsidRDefault="000D5004" w:rsidP="11067ABC">
      <w:pPr>
        <w:spacing w:after="0"/>
        <w:rPr>
          <w:rFonts w:eastAsiaTheme="minorEastAsia" w:cs="Calibri"/>
        </w:rPr>
      </w:pPr>
      <w:r w:rsidRPr="11067ABC">
        <w:rPr>
          <w:rFonts w:eastAsiaTheme="minorEastAsia" w:cs="Calibri"/>
        </w:rPr>
        <w:t>There will be local restrictions on the number of mobility vehicles permitted to be used and stored on schemes.</w:t>
      </w:r>
      <w:r w:rsidR="00BB0E26">
        <w:rPr>
          <w:rFonts w:eastAsiaTheme="minorEastAsia" w:cs="Calibri"/>
        </w:rPr>
        <w:t xml:space="preserve"> </w:t>
      </w:r>
      <w:r w:rsidR="00B13142" w:rsidRPr="11067ABC">
        <w:rPr>
          <w:rFonts w:eastAsiaTheme="minorEastAsia" w:cs="Calibri"/>
        </w:rPr>
        <w:t xml:space="preserve">Allocation of storage space for mobility </w:t>
      </w:r>
      <w:r w:rsidR="005D6D7F" w:rsidRPr="11067ABC">
        <w:rPr>
          <w:rFonts w:eastAsiaTheme="minorEastAsia" w:cs="Calibri"/>
        </w:rPr>
        <w:t>vehicles</w:t>
      </w:r>
      <w:r w:rsidR="00B13142" w:rsidRPr="11067ABC">
        <w:rPr>
          <w:rFonts w:eastAsiaTheme="minorEastAsia" w:cs="Calibri"/>
        </w:rPr>
        <w:t xml:space="preserve"> will be </w:t>
      </w:r>
      <w:r w:rsidR="00FE0FB8">
        <w:rPr>
          <w:rFonts w:eastAsiaTheme="minorEastAsia" w:cs="Calibri"/>
        </w:rPr>
        <w:t>made following a needs assessment by the local housing management team</w:t>
      </w:r>
      <w:r w:rsidR="00B13142" w:rsidRPr="11067ABC">
        <w:rPr>
          <w:rFonts w:eastAsiaTheme="minorEastAsia" w:cs="Calibri"/>
        </w:rPr>
        <w:t>.</w:t>
      </w:r>
      <w:r w:rsidR="0083245B" w:rsidRPr="11067ABC">
        <w:rPr>
          <w:rFonts w:eastAsiaTheme="minorEastAsia" w:cs="Calibri"/>
        </w:rPr>
        <w:t xml:space="preserve"> </w:t>
      </w:r>
      <w:r w:rsidR="003D4F89" w:rsidRPr="11067ABC">
        <w:rPr>
          <w:rFonts w:eastAsiaTheme="minorEastAsia" w:cs="Calibri"/>
        </w:rPr>
        <w:t xml:space="preserve">If there is not sufficient space, there may be alternatives for residents seeking to use a </w:t>
      </w:r>
      <w:r w:rsidR="00BC7EC3" w:rsidRPr="11067ABC">
        <w:rPr>
          <w:rFonts w:eastAsiaTheme="minorEastAsia" w:cs="Calibri"/>
        </w:rPr>
        <w:t>mobility vehicle</w:t>
      </w:r>
      <w:r w:rsidR="003D4F89" w:rsidRPr="11067ABC">
        <w:rPr>
          <w:rFonts w:eastAsiaTheme="minorEastAsia" w:cs="Calibri"/>
        </w:rPr>
        <w:t xml:space="preserve"> to consider, such as:</w:t>
      </w:r>
    </w:p>
    <w:p w14:paraId="39FD654A" w14:textId="77777777" w:rsidR="00CD143D" w:rsidRDefault="00CD143D" w:rsidP="11067ABC">
      <w:pPr>
        <w:spacing w:after="0"/>
        <w:rPr>
          <w:rFonts w:eastAsiaTheme="minorEastAsia" w:cs="Calibri"/>
        </w:rPr>
      </w:pPr>
    </w:p>
    <w:p w14:paraId="0419CB76" w14:textId="0DFFA9AD" w:rsidR="00EF45C5" w:rsidRPr="00E21D89" w:rsidRDefault="00EF45C5" w:rsidP="007A298B">
      <w:pPr>
        <w:pStyle w:val="ListParagraph"/>
        <w:numPr>
          <w:ilvl w:val="0"/>
          <w:numId w:val="10"/>
        </w:numPr>
        <w:spacing w:after="0"/>
        <w:rPr>
          <w:rFonts w:eastAsiaTheme="minorHAnsi" w:cs="Calibri"/>
        </w:rPr>
      </w:pPr>
      <w:r w:rsidRPr="00E21D89">
        <w:rPr>
          <w:rFonts w:eastAsiaTheme="minorHAnsi" w:cs="Calibri"/>
        </w:rPr>
        <w:t>Local shop mobility arrangements.</w:t>
      </w:r>
    </w:p>
    <w:p w14:paraId="241CFBBC" w14:textId="3EAB6551" w:rsidR="00EF45C5" w:rsidRDefault="00EF45C5" w:rsidP="11067ABC">
      <w:pPr>
        <w:pStyle w:val="ListParagraph"/>
        <w:numPr>
          <w:ilvl w:val="0"/>
          <w:numId w:val="10"/>
        </w:numPr>
        <w:spacing w:after="0"/>
        <w:rPr>
          <w:rFonts w:eastAsiaTheme="minorEastAsia" w:cs="Calibri"/>
        </w:rPr>
      </w:pPr>
      <w:r w:rsidRPr="11067ABC">
        <w:rPr>
          <w:rFonts w:eastAsiaTheme="minorEastAsia" w:cs="Calibri"/>
        </w:rPr>
        <w:t>Request</w:t>
      </w:r>
      <w:r w:rsidR="343B5CCC" w:rsidRPr="11067ABC">
        <w:rPr>
          <w:rFonts w:eastAsiaTheme="minorEastAsia" w:cs="Calibri"/>
        </w:rPr>
        <w:t>ing</w:t>
      </w:r>
      <w:r w:rsidRPr="11067ABC">
        <w:rPr>
          <w:rFonts w:eastAsiaTheme="minorEastAsia" w:cs="Calibri"/>
        </w:rPr>
        <w:t xml:space="preserve"> permission from </w:t>
      </w:r>
      <w:r w:rsidR="005469C2" w:rsidRPr="11067ABC">
        <w:rPr>
          <w:rFonts w:eastAsiaTheme="minorEastAsia" w:cs="Calibri"/>
        </w:rPr>
        <w:t xml:space="preserve">Housing 21 to erect a suitable outdoor storage and </w:t>
      </w:r>
      <w:r w:rsidR="004A7043">
        <w:rPr>
          <w:rFonts w:eastAsiaTheme="minorEastAsia" w:cs="Calibri"/>
        </w:rPr>
        <w:t>/</w:t>
      </w:r>
      <w:r w:rsidR="005469C2" w:rsidRPr="11067ABC">
        <w:rPr>
          <w:rFonts w:eastAsiaTheme="minorEastAsia" w:cs="Calibri"/>
        </w:rPr>
        <w:t>or</w:t>
      </w:r>
      <w:r w:rsidR="004A7043">
        <w:rPr>
          <w:rFonts w:eastAsiaTheme="minorEastAsia" w:cs="Calibri"/>
        </w:rPr>
        <w:t xml:space="preserve"> </w:t>
      </w:r>
      <w:r w:rsidR="005469C2" w:rsidRPr="11067ABC">
        <w:rPr>
          <w:rFonts w:eastAsiaTheme="minorEastAsia" w:cs="Calibri"/>
        </w:rPr>
        <w:t>charging facility (at resident’s own risk and cost, including ongoing maintenance costs)</w:t>
      </w:r>
      <w:r w:rsidR="00E21D89" w:rsidRPr="11067ABC">
        <w:rPr>
          <w:rFonts w:eastAsiaTheme="minorEastAsia" w:cs="Calibri"/>
        </w:rPr>
        <w:t>.</w:t>
      </w:r>
    </w:p>
    <w:p w14:paraId="5AA8A4CD" w14:textId="77777777" w:rsidR="00192898" w:rsidRPr="00E21D89" w:rsidRDefault="00192898" w:rsidP="00192898">
      <w:pPr>
        <w:pStyle w:val="ListParagraph"/>
        <w:spacing w:after="0"/>
        <w:rPr>
          <w:rFonts w:eastAsiaTheme="minorEastAsia" w:cs="Calibri"/>
        </w:rPr>
      </w:pPr>
    </w:p>
    <w:p w14:paraId="2750AF0A" w14:textId="67B4256E" w:rsidR="003D4F89" w:rsidRDefault="00131877" w:rsidP="007A298B">
      <w:pPr>
        <w:spacing w:after="0"/>
        <w:rPr>
          <w:rFonts w:eastAsiaTheme="minorHAnsi" w:cs="Calibri"/>
        </w:rPr>
      </w:pPr>
      <w:r w:rsidRPr="008251A6">
        <w:rPr>
          <w:rFonts w:eastAsiaTheme="minorHAnsi" w:cs="Calibri"/>
        </w:rPr>
        <w:t xml:space="preserve">Housing 21 are not responsible for providing any adjustments to a property or to the perimeter of a building to accommodate the use of a mobility scooter.  Should adjustments </w:t>
      </w:r>
      <w:r w:rsidR="00192898" w:rsidRPr="008251A6">
        <w:rPr>
          <w:rFonts w:eastAsiaTheme="minorHAnsi" w:cs="Calibri"/>
        </w:rPr>
        <w:t>be needed, requests for improvements or alterations should be made to us in writing.  We may attach conditions to any consent we give.  Permission to carry out alterations will not be unreasonably withheld.</w:t>
      </w:r>
    </w:p>
    <w:p w14:paraId="30885E48" w14:textId="77777777" w:rsidR="001F24B7" w:rsidRDefault="001F24B7" w:rsidP="007A298B">
      <w:pPr>
        <w:spacing w:after="0"/>
        <w:rPr>
          <w:rFonts w:eastAsiaTheme="minorHAnsi" w:cs="Calibri"/>
        </w:rPr>
      </w:pPr>
    </w:p>
    <w:p w14:paraId="28120AA3" w14:textId="77777777" w:rsidR="00801A93" w:rsidRDefault="00801A93" w:rsidP="007A298B">
      <w:pPr>
        <w:spacing w:after="0"/>
        <w:rPr>
          <w:rFonts w:eastAsiaTheme="minorHAnsi" w:cs="Calibri"/>
        </w:rPr>
      </w:pPr>
    </w:p>
    <w:p w14:paraId="6DEA639E" w14:textId="6672DD54" w:rsidR="007D7C10" w:rsidRPr="007F63E8" w:rsidRDefault="00566CA9" w:rsidP="007A298B">
      <w:pPr>
        <w:spacing w:after="0"/>
        <w:rPr>
          <w:rFonts w:eastAsiaTheme="minorHAnsi" w:cs="Calibri"/>
          <w:b/>
          <w:bCs/>
        </w:rPr>
      </w:pPr>
      <w:r>
        <w:rPr>
          <w:rFonts w:eastAsiaTheme="minorHAnsi" w:cs="Calibri"/>
          <w:b/>
          <w:bCs/>
        </w:rPr>
        <w:t>4.2</w:t>
      </w:r>
      <w:r>
        <w:rPr>
          <w:rFonts w:eastAsiaTheme="minorHAnsi" w:cs="Calibri"/>
          <w:b/>
          <w:bCs/>
        </w:rPr>
        <w:tab/>
      </w:r>
      <w:r w:rsidR="007D7C10" w:rsidRPr="007F63E8">
        <w:rPr>
          <w:rFonts w:eastAsiaTheme="minorHAnsi" w:cs="Calibri"/>
          <w:b/>
          <w:bCs/>
        </w:rPr>
        <w:t xml:space="preserve">Storage </w:t>
      </w:r>
    </w:p>
    <w:p w14:paraId="3EA93E1C" w14:textId="498CABF2" w:rsidR="00E21D89" w:rsidRDefault="00BC7EC3" w:rsidP="007A298B">
      <w:pPr>
        <w:spacing w:after="0"/>
        <w:rPr>
          <w:rFonts w:eastAsiaTheme="minorHAnsi" w:cs="Calibri"/>
        </w:rPr>
      </w:pPr>
      <w:r>
        <w:rPr>
          <w:rFonts w:eastAsiaTheme="minorHAnsi" w:cs="Calibri"/>
        </w:rPr>
        <w:t>Mobility vehicle</w:t>
      </w:r>
      <w:r w:rsidR="00E21D89">
        <w:rPr>
          <w:rFonts w:eastAsiaTheme="minorHAnsi" w:cs="Calibri"/>
        </w:rPr>
        <w:t xml:space="preserve">s must not be stored in any part of a corridor or stairwell that might block an escape route, potentially cause </w:t>
      </w:r>
      <w:r w:rsidR="004F747B">
        <w:rPr>
          <w:rFonts w:eastAsiaTheme="minorHAnsi" w:cs="Calibri"/>
        </w:rPr>
        <w:t xml:space="preserve">an obstruction, trip, or fire hazard. </w:t>
      </w:r>
    </w:p>
    <w:p w14:paraId="4B564CC3" w14:textId="77777777" w:rsidR="000032FE" w:rsidRDefault="000032FE" w:rsidP="007A298B">
      <w:pPr>
        <w:spacing w:after="0"/>
        <w:rPr>
          <w:rFonts w:eastAsiaTheme="minorHAnsi" w:cs="Calibri"/>
        </w:rPr>
      </w:pPr>
    </w:p>
    <w:p w14:paraId="5B0B4AFE" w14:textId="6144EDAC" w:rsidR="00D30FD9" w:rsidRDefault="00D30FD9" w:rsidP="007A298B">
      <w:pPr>
        <w:spacing w:after="0"/>
        <w:rPr>
          <w:rFonts w:eastAsiaTheme="minorHAnsi" w:cs="Calibri"/>
        </w:rPr>
      </w:pPr>
      <w:r>
        <w:rPr>
          <w:rFonts w:eastAsiaTheme="minorHAnsi" w:cs="Calibri"/>
        </w:rPr>
        <w:t xml:space="preserve">Vehicles deemed to be too large to be used, </w:t>
      </w:r>
      <w:r w:rsidR="007A298B">
        <w:rPr>
          <w:rFonts w:eastAsiaTheme="minorHAnsi" w:cs="Calibri"/>
        </w:rPr>
        <w:t>stored,</w:t>
      </w:r>
      <w:r>
        <w:rPr>
          <w:rFonts w:eastAsiaTheme="minorHAnsi" w:cs="Calibri"/>
        </w:rPr>
        <w:t xml:space="preserve"> or charged in Housing 21 properties must be stored and charged outside.</w:t>
      </w:r>
    </w:p>
    <w:p w14:paraId="11D41A1A" w14:textId="77777777" w:rsidR="00106A7B" w:rsidRDefault="00106A7B" w:rsidP="007A298B">
      <w:pPr>
        <w:spacing w:after="0"/>
        <w:rPr>
          <w:rFonts w:eastAsiaTheme="minorHAnsi" w:cs="Calibri"/>
        </w:rPr>
      </w:pPr>
    </w:p>
    <w:p w14:paraId="6547FCF9" w14:textId="68D0A5C4" w:rsidR="00106A7B" w:rsidRDefault="00F5132A" w:rsidP="007A298B">
      <w:pPr>
        <w:spacing w:after="0"/>
        <w:rPr>
          <w:rFonts w:eastAsiaTheme="minorHAnsi" w:cs="Calibri"/>
        </w:rPr>
      </w:pPr>
      <w:r w:rsidRPr="008251A6">
        <w:rPr>
          <w:rFonts w:eastAsiaTheme="minorHAnsi" w:cs="Calibri"/>
        </w:rPr>
        <w:t xml:space="preserve">Visitors must find a safe location to park their mobility vehicle </w:t>
      </w:r>
      <w:r w:rsidR="00073242" w:rsidRPr="008251A6">
        <w:rPr>
          <w:rFonts w:eastAsiaTheme="minorHAnsi" w:cs="Calibri"/>
        </w:rPr>
        <w:t xml:space="preserve">that is outside the communal or shared areas and does not cause any obstruction within the </w:t>
      </w:r>
      <w:r w:rsidR="004A72FE" w:rsidRPr="008251A6">
        <w:rPr>
          <w:rFonts w:eastAsiaTheme="minorHAnsi" w:cs="Calibri"/>
        </w:rPr>
        <w:t>building</w:t>
      </w:r>
      <w:r w:rsidR="00107F01" w:rsidRPr="008251A6">
        <w:rPr>
          <w:rFonts w:eastAsiaTheme="minorHAnsi" w:cs="Calibri"/>
        </w:rPr>
        <w:t>/property</w:t>
      </w:r>
      <w:r w:rsidR="00AB673A" w:rsidRPr="008251A6">
        <w:rPr>
          <w:rFonts w:eastAsiaTheme="minorHAnsi" w:cs="Calibri"/>
        </w:rPr>
        <w:t xml:space="preserve"> during visits. Any resident whose visitors fail to do this will be held responsible in line with the terms of their tenancy agreement.</w:t>
      </w:r>
    </w:p>
    <w:p w14:paraId="2429D27A" w14:textId="737C4F02" w:rsidR="00D30FD9" w:rsidRDefault="00D30FD9" w:rsidP="007A298B">
      <w:pPr>
        <w:spacing w:after="0"/>
        <w:rPr>
          <w:rFonts w:eastAsiaTheme="minorHAnsi" w:cs="Calibri"/>
        </w:rPr>
      </w:pPr>
    </w:p>
    <w:p w14:paraId="048D1A86" w14:textId="77777777" w:rsidR="001F24B7" w:rsidRDefault="001F24B7" w:rsidP="007A298B">
      <w:pPr>
        <w:spacing w:after="0"/>
        <w:rPr>
          <w:rFonts w:eastAsiaTheme="minorHAnsi" w:cs="Calibri"/>
        </w:rPr>
      </w:pPr>
    </w:p>
    <w:p w14:paraId="02F004E1" w14:textId="41DACC5A" w:rsidR="00D30FD9" w:rsidRPr="007F63E8" w:rsidRDefault="00566CA9" w:rsidP="007A298B">
      <w:pPr>
        <w:spacing w:after="0"/>
        <w:rPr>
          <w:rFonts w:eastAsiaTheme="minorHAnsi" w:cs="Calibri"/>
          <w:b/>
          <w:bCs/>
        </w:rPr>
      </w:pPr>
      <w:r>
        <w:rPr>
          <w:rFonts w:eastAsiaTheme="minorHAnsi" w:cs="Calibri"/>
          <w:b/>
          <w:bCs/>
        </w:rPr>
        <w:t>4.3</w:t>
      </w:r>
      <w:r>
        <w:rPr>
          <w:rFonts w:eastAsiaTheme="minorHAnsi" w:cs="Calibri"/>
          <w:b/>
          <w:bCs/>
        </w:rPr>
        <w:tab/>
      </w:r>
      <w:r w:rsidR="00D30FD9" w:rsidRPr="007F63E8">
        <w:rPr>
          <w:rFonts w:eastAsiaTheme="minorHAnsi" w:cs="Calibri"/>
          <w:b/>
          <w:bCs/>
        </w:rPr>
        <w:t>Charging</w:t>
      </w:r>
    </w:p>
    <w:p w14:paraId="1D4B0EB8" w14:textId="09B48383" w:rsidR="002543D8" w:rsidRDefault="002543D8" w:rsidP="007A298B">
      <w:pPr>
        <w:spacing w:after="0"/>
        <w:rPr>
          <w:rFonts w:eastAsiaTheme="minorHAnsi" w:cs="Calibri"/>
        </w:rPr>
      </w:pPr>
      <w:r w:rsidRPr="0083470D">
        <w:rPr>
          <w:rFonts w:eastAsiaTheme="minorHAnsi" w:cs="Calibri"/>
        </w:rPr>
        <w:t>The type of batteries used in mobility vehicles are generally lead acid (wet cell) or sealed lead acid scooter batteries.  Other battery types include Gel and Absorbed Glass Mat (AGM) batteries.  The use of lithium iron phosphate (LiFeP04) batteries has increased risks due to their unpredictable and adverse reaction when subjected to fire.  All batteries can give off hydrogen when charging.</w:t>
      </w:r>
    </w:p>
    <w:p w14:paraId="517BE3C4" w14:textId="77777777" w:rsidR="002543D8" w:rsidRDefault="002543D8" w:rsidP="007A298B">
      <w:pPr>
        <w:spacing w:after="0"/>
        <w:rPr>
          <w:rFonts w:eastAsiaTheme="minorHAnsi" w:cs="Calibri"/>
        </w:rPr>
      </w:pPr>
    </w:p>
    <w:p w14:paraId="4B181AF4" w14:textId="22891550" w:rsidR="00D30FD9" w:rsidRDefault="002543D8" w:rsidP="002543D8">
      <w:pPr>
        <w:spacing w:after="0"/>
        <w:rPr>
          <w:rFonts w:eastAsiaTheme="minorHAnsi" w:cs="Calibri"/>
        </w:rPr>
      </w:pPr>
      <w:r>
        <w:rPr>
          <w:rFonts w:eastAsiaTheme="minorHAnsi" w:cs="Calibri"/>
        </w:rPr>
        <w:t>Therefore, m</w:t>
      </w:r>
      <w:r w:rsidR="00BC7EC3">
        <w:rPr>
          <w:rFonts w:eastAsiaTheme="minorHAnsi" w:cs="Calibri"/>
        </w:rPr>
        <w:t>obility vehicle</w:t>
      </w:r>
      <w:r w:rsidR="00FE37B3">
        <w:rPr>
          <w:rFonts w:eastAsiaTheme="minorHAnsi" w:cs="Calibri"/>
        </w:rPr>
        <w:t>s must not under any circumstances be charged in communal corridors</w:t>
      </w:r>
      <w:r w:rsidR="00DD20B2">
        <w:rPr>
          <w:rFonts w:eastAsiaTheme="minorHAnsi" w:cs="Calibri"/>
        </w:rPr>
        <w:t>,</w:t>
      </w:r>
      <w:r w:rsidR="00FE37B3">
        <w:rPr>
          <w:rFonts w:eastAsiaTheme="minorHAnsi" w:cs="Calibri"/>
        </w:rPr>
        <w:t xml:space="preserve"> or other communal areas unless the area has been </w:t>
      </w:r>
      <w:r w:rsidR="00C36B19">
        <w:rPr>
          <w:rFonts w:eastAsiaTheme="minorHAnsi" w:cs="Calibri"/>
        </w:rPr>
        <w:t>agreed as a ‘design</w:t>
      </w:r>
      <w:r w:rsidR="00DD20B2">
        <w:rPr>
          <w:rFonts w:eastAsiaTheme="minorHAnsi" w:cs="Calibri"/>
        </w:rPr>
        <w:t>at</w:t>
      </w:r>
      <w:r w:rsidR="00C36B19">
        <w:rPr>
          <w:rFonts w:eastAsiaTheme="minorHAnsi" w:cs="Calibri"/>
        </w:rPr>
        <w:t xml:space="preserve">ed area’ on </w:t>
      </w:r>
      <w:r w:rsidR="00DD20B2">
        <w:rPr>
          <w:rFonts w:eastAsiaTheme="minorHAnsi" w:cs="Calibri"/>
        </w:rPr>
        <w:t>the</w:t>
      </w:r>
      <w:r w:rsidR="00C36B19">
        <w:rPr>
          <w:rFonts w:eastAsiaTheme="minorHAnsi" w:cs="Calibri"/>
        </w:rPr>
        <w:t xml:space="preserve"> Fire Risk Assessment and documented on the </w:t>
      </w:r>
      <w:r w:rsidR="0059208C">
        <w:rPr>
          <w:rFonts w:eastAsiaTheme="minorHAnsi" w:cs="Calibri"/>
        </w:rPr>
        <w:t>resident’s</w:t>
      </w:r>
      <w:r w:rsidR="00C36B19">
        <w:rPr>
          <w:rFonts w:eastAsiaTheme="minorHAnsi" w:cs="Calibri"/>
        </w:rPr>
        <w:t xml:space="preserve"> permission form.</w:t>
      </w:r>
    </w:p>
    <w:p w14:paraId="1A4ACBD4" w14:textId="77777777" w:rsidR="002543D8" w:rsidRDefault="002543D8" w:rsidP="002543D8">
      <w:pPr>
        <w:spacing w:after="0"/>
        <w:rPr>
          <w:rFonts w:eastAsiaTheme="minorHAnsi" w:cs="Calibri"/>
        </w:rPr>
      </w:pPr>
    </w:p>
    <w:p w14:paraId="0D546DC6" w14:textId="12445CAF" w:rsidR="002543D8" w:rsidRPr="0083470D" w:rsidRDefault="002543D8" w:rsidP="002543D8">
      <w:pPr>
        <w:spacing w:after="0"/>
        <w:rPr>
          <w:rFonts w:asciiTheme="minorHAnsi" w:hAnsiTheme="minorHAnsi" w:cs="Arial"/>
        </w:rPr>
      </w:pPr>
      <w:r w:rsidRPr="0083470D">
        <w:rPr>
          <w:rFonts w:asciiTheme="minorHAnsi" w:hAnsiTheme="minorHAnsi" w:cs="Arial"/>
        </w:rPr>
        <w:t>Further, to reduce risk of fire during sleeping hours charging of mobility vehicles is not permitted between 10pm and 6am in line with the National Fire Chief Council guidance.</w:t>
      </w:r>
    </w:p>
    <w:p w14:paraId="3207A442" w14:textId="77777777" w:rsidR="002543D8" w:rsidRPr="002543D8" w:rsidRDefault="002543D8" w:rsidP="002543D8">
      <w:pPr>
        <w:spacing w:after="0"/>
        <w:rPr>
          <w:rFonts w:asciiTheme="minorHAnsi" w:hAnsiTheme="minorHAnsi" w:cs="Arial"/>
          <w:highlight w:val="yellow"/>
        </w:rPr>
      </w:pPr>
    </w:p>
    <w:p w14:paraId="3029886D" w14:textId="2B98A988" w:rsidR="0059208C" w:rsidRDefault="0059208C" w:rsidP="002543D8">
      <w:pPr>
        <w:spacing w:after="0"/>
        <w:rPr>
          <w:rFonts w:eastAsiaTheme="minorHAnsi" w:cs="Calibri"/>
        </w:rPr>
      </w:pPr>
      <w:r w:rsidRPr="009E5E68">
        <w:rPr>
          <w:rFonts w:eastAsiaTheme="minorHAnsi" w:cs="Calibri"/>
        </w:rPr>
        <w:lastRenderedPageBreak/>
        <w:t xml:space="preserve">Unless an electricity token meter is installed for recharging </w:t>
      </w:r>
      <w:r w:rsidR="00BC7EC3" w:rsidRPr="009E5E68">
        <w:rPr>
          <w:rFonts w:eastAsiaTheme="minorHAnsi" w:cs="Calibri"/>
        </w:rPr>
        <w:t>mobility vehicle</w:t>
      </w:r>
      <w:r w:rsidRPr="009E5E68">
        <w:rPr>
          <w:rFonts w:eastAsiaTheme="minorHAnsi" w:cs="Calibri"/>
        </w:rPr>
        <w:t>s, Housing 21 will not charge i</w:t>
      </w:r>
      <w:r w:rsidR="007F63E8" w:rsidRPr="009E5E68">
        <w:rPr>
          <w:rFonts w:eastAsiaTheme="minorHAnsi" w:cs="Calibri"/>
        </w:rPr>
        <w:t>ndividuals to recharge their vehicles in designated communal areas. The electricity costs will b</w:t>
      </w:r>
      <w:r w:rsidR="00DD20B2">
        <w:rPr>
          <w:rFonts w:eastAsiaTheme="minorHAnsi" w:cs="Calibri"/>
        </w:rPr>
        <w:t>e</w:t>
      </w:r>
      <w:r w:rsidR="007F63E8" w:rsidRPr="009E5E68">
        <w:rPr>
          <w:rFonts w:eastAsiaTheme="minorHAnsi" w:cs="Calibri"/>
        </w:rPr>
        <w:t xml:space="preserve"> recovered through service charges.</w:t>
      </w:r>
    </w:p>
    <w:p w14:paraId="10EAD2D7" w14:textId="1BA7476B" w:rsidR="007F63E8" w:rsidRDefault="007F63E8" w:rsidP="007A298B">
      <w:pPr>
        <w:spacing w:after="0"/>
        <w:rPr>
          <w:rFonts w:eastAsiaTheme="minorHAnsi" w:cs="Calibri"/>
        </w:rPr>
      </w:pPr>
    </w:p>
    <w:p w14:paraId="14FD9663" w14:textId="77777777" w:rsidR="001F24B7" w:rsidRDefault="001F24B7" w:rsidP="007A298B">
      <w:pPr>
        <w:spacing w:after="0"/>
        <w:rPr>
          <w:rFonts w:eastAsiaTheme="minorHAnsi" w:cs="Calibri"/>
        </w:rPr>
      </w:pPr>
    </w:p>
    <w:p w14:paraId="7B6B8805" w14:textId="0C9460F6" w:rsidR="007F63E8" w:rsidRPr="007F63E8" w:rsidRDefault="00566CA9" w:rsidP="007A298B">
      <w:pPr>
        <w:spacing w:after="0"/>
        <w:rPr>
          <w:rFonts w:eastAsiaTheme="minorHAnsi" w:cs="Calibri"/>
          <w:b/>
          <w:bCs/>
        </w:rPr>
      </w:pPr>
      <w:r>
        <w:rPr>
          <w:rFonts w:eastAsiaTheme="minorHAnsi" w:cs="Calibri"/>
          <w:b/>
          <w:bCs/>
        </w:rPr>
        <w:t>4.4</w:t>
      </w:r>
      <w:r>
        <w:rPr>
          <w:rFonts w:eastAsiaTheme="minorHAnsi" w:cs="Calibri"/>
          <w:b/>
          <w:bCs/>
        </w:rPr>
        <w:tab/>
      </w:r>
      <w:r w:rsidR="007F63E8" w:rsidRPr="007F63E8">
        <w:rPr>
          <w:rFonts w:eastAsiaTheme="minorHAnsi" w:cs="Calibri"/>
          <w:b/>
          <w:bCs/>
        </w:rPr>
        <w:t>Insurance</w:t>
      </w:r>
    </w:p>
    <w:p w14:paraId="60CDC1D4" w14:textId="25695177" w:rsidR="00E21D89" w:rsidRDefault="000C472A" w:rsidP="007A298B">
      <w:pPr>
        <w:spacing w:after="0"/>
        <w:rPr>
          <w:rFonts w:eastAsiaTheme="minorHAnsi" w:cs="Calibri"/>
        </w:rPr>
      </w:pPr>
      <w:r>
        <w:rPr>
          <w:rFonts w:eastAsiaTheme="minorHAnsi" w:cs="Calibri"/>
        </w:rPr>
        <w:t>Insurance for mobility vehicles is not a legal requirement</w:t>
      </w:r>
      <w:r w:rsidR="00717AF3">
        <w:rPr>
          <w:rFonts w:eastAsiaTheme="minorHAnsi" w:cs="Calibri"/>
        </w:rPr>
        <w:t xml:space="preserve">, </w:t>
      </w:r>
      <w:r w:rsidR="002543D8">
        <w:rPr>
          <w:rFonts w:eastAsiaTheme="minorHAnsi" w:cs="Calibri"/>
        </w:rPr>
        <w:t>however,</w:t>
      </w:r>
      <w:r w:rsidR="00717AF3">
        <w:rPr>
          <w:rFonts w:eastAsiaTheme="minorHAnsi" w:cs="Calibri"/>
        </w:rPr>
        <w:t xml:space="preserve"> </w:t>
      </w:r>
      <w:r w:rsidR="002543D8">
        <w:rPr>
          <w:rFonts w:eastAsiaTheme="minorHAnsi" w:cs="Calibri"/>
        </w:rPr>
        <w:t xml:space="preserve">Housing 21 require </w:t>
      </w:r>
      <w:r w:rsidR="001F24B7">
        <w:rPr>
          <w:rFonts w:eastAsiaTheme="minorHAnsi" w:cs="Calibri"/>
        </w:rPr>
        <w:t>third-party</w:t>
      </w:r>
      <w:r w:rsidR="004A26D3">
        <w:rPr>
          <w:rFonts w:eastAsiaTheme="minorHAnsi" w:cs="Calibri"/>
        </w:rPr>
        <w:t xml:space="preserve"> insurance </w:t>
      </w:r>
      <w:r w:rsidR="002543D8">
        <w:rPr>
          <w:rFonts w:eastAsiaTheme="minorHAnsi" w:cs="Calibri"/>
        </w:rPr>
        <w:t>as</w:t>
      </w:r>
      <w:r w:rsidR="001F24B7">
        <w:rPr>
          <w:rFonts w:eastAsiaTheme="minorHAnsi" w:cs="Calibri"/>
        </w:rPr>
        <w:t xml:space="preserve"> a minimum </w:t>
      </w:r>
      <w:r w:rsidR="00717AF3">
        <w:rPr>
          <w:rFonts w:eastAsiaTheme="minorHAnsi" w:cs="Calibri"/>
        </w:rPr>
        <w:t xml:space="preserve">if the vehicle is to be used and stored inside or outside of a building belonging to Housing 21. </w:t>
      </w:r>
      <w:r w:rsidR="006C4BD9">
        <w:rPr>
          <w:rFonts w:eastAsiaTheme="minorHAnsi" w:cs="Calibri"/>
        </w:rPr>
        <w:t xml:space="preserve">As a minimum, insurance should provide third party cover for damage against property and claims from </w:t>
      </w:r>
      <w:r w:rsidR="00D34316">
        <w:rPr>
          <w:rFonts w:eastAsiaTheme="minorHAnsi" w:cs="Calibri"/>
        </w:rPr>
        <w:t xml:space="preserve">other </w:t>
      </w:r>
      <w:r w:rsidR="00FE0FB8">
        <w:rPr>
          <w:rFonts w:eastAsiaTheme="minorHAnsi" w:cs="Calibri"/>
        </w:rPr>
        <w:t>residents</w:t>
      </w:r>
      <w:r w:rsidR="00D34316">
        <w:rPr>
          <w:rFonts w:eastAsiaTheme="minorHAnsi" w:cs="Calibri"/>
        </w:rPr>
        <w:t>, employees, or visitors.</w:t>
      </w:r>
    </w:p>
    <w:p w14:paraId="6A187D66" w14:textId="77777777" w:rsidR="005E21E3" w:rsidRDefault="005E21E3" w:rsidP="007A298B">
      <w:pPr>
        <w:spacing w:after="0"/>
        <w:rPr>
          <w:rFonts w:eastAsiaTheme="minorHAnsi" w:cs="Calibri"/>
        </w:rPr>
      </w:pPr>
    </w:p>
    <w:p w14:paraId="1DAB0DD4" w14:textId="431004C5" w:rsidR="00D34316" w:rsidRDefault="00FE0FB8" w:rsidP="007A298B">
      <w:pPr>
        <w:spacing w:after="0"/>
        <w:rPr>
          <w:rFonts w:eastAsiaTheme="minorHAnsi" w:cs="Calibri"/>
        </w:rPr>
      </w:pPr>
      <w:r>
        <w:rPr>
          <w:rFonts w:eastAsiaTheme="minorHAnsi" w:cs="Calibri"/>
        </w:rPr>
        <w:t>Residents</w:t>
      </w:r>
      <w:r w:rsidR="00A855CA">
        <w:rPr>
          <w:rFonts w:eastAsiaTheme="minorHAnsi" w:cs="Calibri"/>
        </w:rPr>
        <w:t xml:space="preserve"> leaving their mobility vehicles unattended in designated storage areas within Housing 21 buildings do so a</w:t>
      </w:r>
      <w:r w:rsidR="007A298B">
        <w:rPr>
          <w:rFonts w:eastAsiaTheme="minorHAnsi" w:cs="Calibri"/>
        </w:rPr>
        <w:t>t</w:t>
      </w:r>
      <w:r w:rsidR="00A855CA">
        <w:rPr>
          <w:rFonts w:eastAsiaTheme="minorHAnsi" w:cs="Calibri"/>
        </w:rPr>
        <w:t xml:space="preserve"> their own risk.</w:t>
      </w:r>
    </w:p>
    <w:p w14:paraId="035081AE" w14:textId="77777777" w:rsidR="00E21D89" w:rsidRDefault="00E21D89" w:rsidP="007A298B">
      <w:pPr>
        <w:spacing w:after="0"/>
        <w:rPr>
          <w:rFonts w:eastAsiaTheme="minorHAnsi" w:cs="Calibri"/>
        </w:rPr>
      </w:pPr>
    </w:p>
    <w:p w14:paraId="02A627C3" w14:textId="77777777" w:rsidR="002543D8" w:rsidRDefault="002543D8" w:rsidP="007A298B">
      <w:pPr>
        <w:spacing w:after="0"/>
        <w:rPr>
          <w:rFonts w:eastAsiaTheme="minorHAnsi" w:cs="Calibri"/>
          <w:b/>
          <w:bCs/>
        </w:rPr>
      </w:pPr>
    </w:p>
    <w:p w14:paraId="1BBAAABE" w14:textId="71EF4139" w:rsidR="00CD1BDB" w:rsidRPr="003920D2" w:rsidRDefault="003920D2" w:rsidP="007A298B">
      <w:pPr>
        <w:spacing w:after="0"/>
        <w:rPr>
          <w:rFonts w:eastAsiaTheme="minorHAnsi" w:cs="Calibri"/>
          <w:b/>
          <w:bCs/>
        </w:rPr>
      </w:pPr>
      <w:r w:rsidRPr="003920D2">
        <w:rPr>
          <w:rFonts w:eastAsiaTheme="minorHAnsi" w:cs="Calibri"/>
          <w:b/>
          <w:bCs/>
        </w:rPr>
        <w:t>4.5</w:t>
      </w:r>
      <w:r w:rsidRPr="003920D2">
        <w:rPr>
          <w:rFonts w:eastAsiaTheme="minorHAnsi" w:cs="Calibri"/>
          <w:b/>
          <w:bCs/>
        </w:rPr>
        <w:tab/>
      </w:r>
      <w:r>
        <w:rPr>
          <w:rFonts w:eastAsiaTheme="minorHAnsi" w:cs="Calibri"/>
          <w:b/>
          <w:bCs/>
        </w:rPr>
        <w:t>Policy breach</w:t>
      </w:r>
    </w:p>
    <w:p w14:paraId="00CC013E" w14:textId="70EE3946" w:rsidR="00C6688F" w:rsidRPr="008251A6" w:rsidRDefault="003920D2" w:rsidP="003920D2">
      <w:pPr>
        <w:pStyle w:val="ListParagraph"/>
        <w:spacing w:after="0"/>
        <w:ind w:left="0"/>
        <w:rPr>
          <w:rFonts w:eastAsiaTheme="minorHAnsi" w:cs="Calibri"/>
        </w:rPr>
      </w:pPr>
      <w:r w:rsidRPr="008251A6">
        <w:rPr>
          <w:rFonts w:eastAsiaTheme="minorHAnsi" w:cs="Calibri"/>
        </w:rPr>
        <w:t xml:space="preserve">If </w:t>
      </w:r>
      <w:r w:rsidR="00FE0FB8" w:rsidRPr="008251A6">
        <w:rPr>
          <w:rFonts w:eastAsiaTheme="minorHAnsi" w:cs="Calibri"/>
        </w:rPr>
        <w:t>residents</w:t>
      </w:r>
      <w:r w:rsidRPr="008251A6">
        <w:rPr>
          <w:rFonts w:eastAsiaTheme="minorHAnsi" w:cs="Calibri"/>
        </w:rPr>
        <w:t xml:space="preserve"> are found to be breaching the conditions stated in this policy </w:t>
      </w:r>
      <w:r w:rsidR="00F27B36" w:rsidRPr="008251A6">
        <w:rPr>
          <w:rFonts w:eastAsiaTheme="minorHAnsi" w:cs="Calibri"/>
        </w:rPr>
        <w:t>and accompanying documents,</w:t>
      </w:r>
      <w:r w:rsidRPr="008251A6">
        <w:rPr>
          <w:rFonts w:eastAsiaTheme="minorHAnsi" w:cs="Calibri"/>
        </w:rPr>
        <w:t xml:space="preserve"> depending on the risks and severity of the breach(s) </w:t>
      </w:r>
      <w:r w:rsidR="004C7D64" w:rsidRPr="008251A6">
        <w:rPr>
          <w:rFonts w:eastAsiaTheme="minorHAnsi" w:cs="Calibri"/>
        </w:rPr>
        <w:t xml:space="preserve">initially a warning will be </w:t>
      </w:r>
      <w:r w:rsidR="00C6688F" w:rsidRPr="008251A6">
        <w:rPr>
          <w:rFonts w:eastAsiaTheme="minorHAnsi" w:cs="Calibri"/>
        </w:rPr>
        <w:t>issued from the</w:t>
      </w:r>
      <w:r w:rsidR="00B50973" w:rsidRPr="008251A6">
        <w:rPr>
          <w:rFonts w:eastAsiaTheme="minorHAnsi" w:cs="Calibri"/>
        </w:rPr>
        <w:t xml:space="preserve"> s</w:t>
      </w:r>
      <w:r w:rsidR="00760F63" w:rsidRPr="008251A6">
        <w:rPr>
          <w:rFonts w:eastAsiaTheme="minorHAnsi" w:cs="Calibri"/>
        </w:rPr>
        <w:t>cheme</w:t>
      </w:r>
      <w:r w:rsidR="00C6688F" w:rsidRPr="008251A6">
        <w:rPr>
          <w:rFonts w:eastAsiaTheme="minorHAnsi" w:cs="Calibri"/>
        </w:rPr>
        <w:t xml:space="preserve"> Manager.  </w:t>
      </w:r>
    </w:p>
    <w:p w14:paraId="3A92875B" w14:textId="77777777" w:rsidR="00E94116" w:rsidRPr="008251A6" w:rsidRDefault="00E94116" w:rsidP="003920D2">
      <w:pPr>
        <w:pStyle w:val="ListParagraph"/>
        <w:spacing w:after="0"/>
        <w:ind w:left="0"/>
        <w:rPr>
          <w:rFonts w:eastAsiaTheme="minorHAnsi" w:cs="Calibri"/>
        </w:rPr>
      </w:pPr>
    </w:p>
    <w:p w14:paraId="579BBD65" w14:textId="1CCA6383" w:rsidR="003920D2" w:rsidRDefault="00C6688F" w:rsidP="003920D2">
      <w:pPr>
        <w:pStyle w:val="ListParagraph"/>
        <w:spacing w:after="0"/>
        <w:ind w:left="0"/>
        <w:rPr>
          <w:rFonts w:eastAsiaTheme="minorHAnsi" w:cs="Calibri"/>
        </w:rPr>
      </w:pPr>
      <w:r w:rsidRPr="008251A6">
        <w:rPr>
          <w:rFonts w:eastAsiaTheme="minorHAnsi" w:cs="Calibri"/>
        </w:rPr>
        <w:t xml:space="preserve">If the issues in the warning are not addressed </w:t>
      </w:r>
      <w:r w:rsidR="003920D2" w:rsidRPr="008251A6">
        <w:rPr>
          <w:rFonts w:eastAsiaTheme="minorHAnsi" w:cs="Calibri"/>
        </w:rPr>
        <w:t xml:space="preserve">the Head of Service will issue a notice to the </w:t>
      </w:r>
      <w:r w:rsidR="002543D8" w:rsidRPr="008251A6">
        <w:rPr>
          <w:rFonts w:eastAsiaTheme="minorHAnsi" w:cs="Calibri"/>
        </w:rPr>
        <w:t>resident</w:t>
      </w:r>
      <w:r w:rsidR="003920D2" w:rsidRPr="008251A6">
        <w:rPr>
          <w:rFonts w:eastAsiaTheme="minorHAnsi" w:cs="Calibri"/>
        </w:rPr>
        <w:t xml:space="preserve"> giving them a specified time-period to rectify the issue(s). Failure to comply with the notice will result in the </w:t>
      </w:r>
      <w:r w:rsidR="002543D8" w:rsidRPr="008251A6">
        <w:rPr>
          <w:rFonts w:eastAsiaTheme="minorHAnsi" w:cs="Calibri"/>
        </w:rPr>
        <w:t>resident</w:t>
      </w:r>
      <w:r w:rsidR="003920D2" w:rsidRPr="008251A6">
        <w:rPr>
          <w:rFonts w:eastAsiaTheme="minorHAnsi" w:cs="Calibri"/>
        </w:rPr>
        <w:t xml:space="preserve"> being asked to remove the mobility vehicle from the building within</w:t>
      </w:r>
      <w:r w:rsidR="005A32F9" w:rsidRPr="008251A6">
        <w:rPr>
          <w:rFonts w:eastAsiaTheme="minorHAnsi" w:cs="Calibri"/>
        </w:rPr>
        <w:t xml:space="preserve"> </w:t>
      </w:r>
      <w:r w:rsidR="000032FE" w:rsidRPr="008251A6">
        <w:rPr>
          <w:rFonts w:eastAsiaTheme="minorHAnsi" w:cs="Calibri"/>
        </w:rPr>
        <w:t>seven</w:t>
      </w:r>
      <w:r w:rsidR="003920D2" w:rsidRPr="008251A6">
        <w:rPr>
          <w:rFonts w:eastAsiaTheme="minorHAnsi" w:cs="Calibri"/>
        </w:rPr>
        <w:t xml:space="preserve"> days</w:t>
      </w:r>
      <w:r w:rsidR="006D283E" w:rsidRPr="008251A6">
        <w:rPr>
          <w:rFonts w:eastAsiaTheme="minorHAnsi" w:cs="Calibri"/>
        </w:rPr>
        <w:t>, the vehicle</w:t>
      </w:r>
      <w:r w:rsidR="00431569" w:rsidRPr="008251A6">
        <w:rPr>
          <w:rFonts w:eastAsiaTheme="minorHAnsi" w:cs="Calibri"/>
        </w:rPr>
        <w:t xml:space="preserve"> will need to be </w:t>
      </w:r>
      <w:r w:rsidR="006D283E" w:rsidRPr="008251A6">
        <w:rPr>
          <w:rFonts w:eastAsiaTheme="minorHAnsi" w:cs="Calibri"/>
        </w:rPr>
        <w:t xml:space="preserve">stored externally at the </w:t>
      </w:r>
      <w:r w:rsidR="005558E1" w:rsidRPr="008251A6">
        <w:rPr>
          <w:rFonts w:eastAsiaTheme="minorHAnsi" w:cs="Calibri"/>
        </w:rPr>
        <w:t>owner’s</w:t>
      </w:r>
      <w:r w:rsidR="006D283E" w:rsidRPr="008251A6">
        <w:rPr>
          <w:rFonts w:eastAsiaTheme="minorHAnsi" w:cs="Calibri"/>
        </w:rPr>
        <w:t xml:space="preserve"> risk</w:t>
      </w:r>
      <w:r w:rsidR="003920D2" w:rsidRPr="008251A6">
        <w:rPr>
          <w:rFonts w:eastAsiaTheme="minorHAnsi" w:cs="Calibri"/>
        </w:rPr>
        <w:t>.</w:t>
      </w:r>
    </w:p>
    <w:p w14:paraId="0D0DF3E9" w14:textId="77777777" w:rsidR="002543D8" w:rsidRDefault="002543D8" w:rsidP="003920D2">
      <w:pPr>
        <w:pStyle w:val="ListParagraph"/>
        <w:spacing w:after="0"/>
        <w:ind w:left="0"/>
        <w:rPr>
          <w:rFonts w:eastAsiaTheme="minorHAnsi" w:cs="Calibri"/>
        </w:rPr>
      </w:pPr>
    </w:p>
    <w:p w14:paraId="6726BCAE" w14:textId="77777777" w:rsidR="002543D8" w:rsidRDefault="002543D8" w:rsidP="003920D2">
      <w:pPr>
        <w:pStyle w:val="ListParagraph"/>
        <w:spacing w:after="0"/>
        <w:ind w:left="0"/>
        <w:rPr>
          <w:rFonts w:eastAsiaTheme="minorHAnsi" w:cs="Calibri"/>
        </w:rPr>
      </w:pPr>
    </w:p>
    <w:p w14:paraId="22B84519" w14:textId="617830F4" w:rsidR="00751E11" w:rsidRPr="00E447C6" w:rsidRDefault="00566CA9" w:rsidP="00E447C6">
      <w:pPr>
        <w:pStyle w:val="Heading7"/>
        <w:shd w:val="clear" w:color="auto" w:fill="DEEAF6" w:themeFill="accent5" w:themeFillTint="33"/>
        <w:rPr>
          <w:b/>
          <w:color w:val="000000" w:themeColor="text1"/>
        </w:rPr>
      </w:pPr>
      <w:r w:rsidRPr="00E447C6">
        <w:rPr>
          <w:b/>
          <w:i w:val="0"/>
          <w:color w:val="000000" w:themeColor="text1"/>
        </w:rPr>
        <w:t>5</w:t>
      </w:r>
      <w:r w:rsidR="00FC7204" w:rsidRPr="00E447C6">
        <w:rPr>
          <w:b/>
          <w:i w:val="0"/>
          <w:color w:val="000000" w:themeColor="text1"/>
        </w:rPr>
        <w:t>.</w:t>
      </w:r>
      <w:r w:rsidR="00FC7204" w:rsidRPr="00E447C6">
        <w:rPr>
          <w:b/>
          <w:i w:val="0"/>
          <w:color w:val="000000" w:themeColor="text1"/>
        </w:rPr>
        <w:tab/>
      </w:r>
      <w:r w:rsidR="00907941" w:rsidRPr="00E447C6">
        <w:rPr>
          <w:b/>
          <w:i w:val="0"/>
          <w:color w:val="000000" w:themeColor="text1"/>
        </w:rPr>
        <w:t xml:space="preserve">Definitions </w:t>
      </w:r>
    </w:p>
    <w:p w14:paraId="42C4F196" w14:textId="77777777" w:rsidR="00F71D57" w:rsidRDefault="00F71D57" w:rsidP="007A298B">
      <w:pPr>
        <w:rPr>
          <w:rFonts w:asciiTheme="minorHAnsi" w:hAnsiTheme="minorHAnsi" w:cs="Arial"/>
        </w:rPr>
      </w:pPr>
    </w:p>
    <w:p w14:paraId="556242DB" w14:textId="45DA5AC3" w:rsidR="0035531C" w:rsidRPr="0035531C" w:rsidRDefault="00566CA9" w:rsidP="007A298B">
      <w:pPr>
        <w:rPr>
          <w:rFonts w:asciiTheme="minorHAnsi" w:hAnsiTheme="minorHAnsi" w:cs="Arial"/>
        </w:rPr>
      </w:pPr>
      <w:r>
        <w:rPr>
          <w:rFonts w:asciiTheme="minorHAnsi" w:hAnsiTheme="minorHAnsi" w:cs="Arial"/>
        </w:rPr>
        <w:t>5</w:t>
      </w:r>
      <w:r w:rsidR="00F71D57">
        <w:rPr>
          <w:rFonts w:asciiTheme="minorHAnsi" w:hAnsiTheme="minorHAnsi" w:cs="Arial"/>
        </w:rPr>
        <w:t>.1</w:t>
      </w:r>
      <w:r w:rsidR="00F71D57">
        <w:rPr>
          <w:rFonts w:asciiTheme="minorHAnsi" w:hAnsiTheme="minorHAnsi" w:cs="Arial"/>
        </w:rPr>
        <w:tab/>
      </w:r>
      <w:r w:rsidR="00BC7EC3">
        <w:rPr>
          <w:rFonts w:asciiTheme="minorHAnsi" w:hAnsiTheme="minorHAnsi" w:cs="Arial"/>
        </w:rPr>
        <w:t>Mobility vehicle</w:t>
      </w:r>
      <w:r w:rsidR="0035531C" w:rsidRPr="0035531C">
        <w:rPr>
          <w:rFonts w:asciiTheme="minorHAnsi" w:hAnsiTheme="minorHAnsi" w:cs="Arial"/>
        </w:rPr>
        <w:t>s are defined as an ‘invalid carriage’ under the Use of Invalid Carriages on the Highways Regulations 1988 and have three categories:</w:t>
      </w:r>
    </w:p>
    <w:p w14:paraId="7B288348" w14:textId="5C4150F3" w:rsidR="00F71D57" w:rsidRPr="00F71D57" w:rsidRDefault="0035531C" w:rsidP="007A298B">
      <w:pPr>
        <w:spacing w:after="0"/>
        <w:rPr>
          <w:rFonts w:asciiTheme="minorHAnsi" w:hAnsiTheme="minorHAnsi" w:cs="Arial"/>
          <w:u w:val="single"/>
        </w:rPr>
      </w:pPr>
      <w:r w:rsidRPr="00F71D57">
        <w:rPr>
          <w:rFonts w:asciiTheme="minorHAnsi" w:hAnsiTheme="minorHAnsi" w:cs="Arial"/>
          <w:b/>
          <w:u w:val="single"/>
        </w:rPr>
        <w:t>Class 1 Vehicles</w:t>
      </w:r>
      <w:r w:rsidRPr="00F71D57">
        <w:rPr>
          <w:rFonts w:asciiTheme="minorHAnsi" w:hAnsiTheme="minorHAnsi" w:cs="Arial"/>
          <w:u w:val="single"/>
        </w:rPr>
        <w:tab/>
      </w:r>
    </w:p>
    <w:p w14:paraId="4C91693A" w14:textId="25AF16D7" w:rsidR="00F71D57" w:rsidRDefault="00BA7489" w:rsidP="007A298B">
      <w:pPr>
        <w:spacing w:after="0"/>
        <w:rPr>
          <w:rFonts w:asciiTheme="minorHAnsi" w:hAnsiTheme="minorHAnsi" w:cs="Arial"/>
        </w:rPr>
      </w:pPr>
      <w:r>
        <w:rPr>
          <w:rFonts w:asciiTheme="minorHAnsi" w:hAnsiTheme="minorHAnsi" w:cs="Arial"/>
        </w:rPr>
        <w:t>Are manual w</w:t>
      </w:r>
      <w:r w:rsidR="007A298B">
        <w:rPr>
          <w:rFonts w:asciiTheme="minorHAnsi" w:hAnsiTheme="minorHAnsi" w:cs="Arial"/>
        </w:rPr>
        <w:t>heelchairs</w:t>
      </w:r>
      <w:r>
        <w:rPr>
          <w:rFonts w:asciiTheme="minorHAnsi" w:hAnsiTheme="minorHAnsi" w:cs="Arial"/>
        </w:rPr>
        <w:t xml:space="preserve"> </w:t>
      </w:r>
      <w:r w:rsidR="00F95C9D">
        <w:rPr>
          <w:rFonts w:asciiTheme="minorHAnsi" w:hAnsiTheme="minorHAnsi" w:cs="Arial"/>
        </w:rPr>
        <w:t xml:space="preserve">that are not electrically </w:t>
      </w:r>
      <w:r w:rsidR="003629DF">
        <w:rPr>
          <w:rFonts w:asciiTheme="minorHAnsi" w:hAnsiTheme="minorHAnsi" w:cs="Arial"/>
        </w:rPr>
        <w:t>propelled.</w:t>
      </w:r>
    </w:p>
    <w:p w14:paraId="732C9AF4" w14:textId="77777777" w:rsidR="00F71D57" w:rsidRPr="0035531C" w:rsidRDefault="00F71D57" w:rsidP="007A298B">
      <w:pPr>
        <w:spacing w:after="0"/>
        <w:rPr>
          <w:rFonts w:asciiTheme="minorHAnsi" w:hAnsiTheme="minorHAnsi" w:cs="Arial"/>
          <w:u w:val="single"/>
        </w:rPr>
      </w:pPr>
    </w:p>
    <w:p w14:paraId="31230E45" w14:textId="77777777" w:rsidR="003629DF" w:rsidRDefault="0035531C" w:rsidP="007A298B">
      <w:pPr>
        <w:spacing w:after="0"/>
        <w:rPr>
          <w:rFonts w:asciiTheme="minorHAnsi" w:hAnsiTheme="minorHAnsi" w:cs="Arial"/>
          <w:b/>
          <w:u w:val="single"/>
        </w:rPr>
      </w:pPr>
      <w:r w:rsidRPr="00F71D57">
        <w:rPr>
          <w:rFonts w:asciiTheme="minorHAnsi" w:hAnsiTheme="minorHAnsi" w:cs="Arial"/>
          <w:b/>
          <w:u w:val="single"/>
        </w:rPr>
        <w:t>Class 2 Vehicles</w:t>
      </w:r>
    </w:p>
    <w:p w14:paraId="156AE66D" w14:textId="754E1DD2" w:rsidR="0035531C" w:rsidRPr="0035531C" w:rsidRDefault="00BC7EC3" w:rsidP="007A298B">
      <w:pPr>
        <w:spacing w:after="0"/>
        <w:rPr>
          <w:rFonts w:asciiTheme="minorHAnsi" w:hAnsiTheme="minorHAnsi" w:cs="Arial"/>
          <w:u w:val="single"/>
        </w:rPr>
      </w:pPr>
      <w:r>
        <w:rPr>
          <w:rFonts w:asciiTheme="minorHAnsi" w:hAnsiTheme="minorHAnsi" w:cs="Arial"/>
        </w:rPr>
        <w:t>Mobility vehicle</w:t>
      </w:r>
      <w:r w:rsidR="00447E27">
        <w:rPr>
          <w:rFonts w:asciiTheme="minorHAnsi" w:hAnsiTheme="minorHAnsi" w:cs="Arial"/>
        </w:rPr>
        <w:t xml:space="preserve"> or p</w:t>
      </w:r>
      <w:r w:rsidR="0035531C" w:rsidRPr="0035531C">
        <w:rPr>
          <w:rFonts w:asciiTheme="minorHAnsi" w:hAnsiTheme="minorHAnsi" w:cs="Arial"/>
        </w:rPr>
        <w:t>owered wheelchair</w:t>
      </w:r>
      <w:r w:rsidR="00447E27">
        <w:rPr>
          <w:rFonts w:asciiTheme="minorHAnsi" w:hAnsiTheme="minorHAnsi" w:cs="Arial"/>
        </w:rPr>
        <w:t xml:space="preserve"> designed for use </w:t>
      </w:r>
      <w:r w:rsidR="00B87F85">
        <w:rPr>
          <w:rFonts w:asciiTheme="minorHAnsi" w:hAnsiTheme="minorHAnsi" w:cs="Arial"/>
        </w:rPr>
        <w:t xml:space="preserve">on </w:t>
      </w:r>
      <w:r w:rsidR="00F95C9D">
        <w:rPr>
          <w:rFonts w:asciiTheme="minorHAnsi" w:hAnsiTheme="minorHAnsi" w:cs="Arial"/>
        </w:rPr>
        <w:t>footpaths</w:t>
      </w:r>
      <w:r w:rsidR="00B87F85">
        <w:rPr>
          <w:rFonts w:asciiTheme="minorHAnsi" w:hAnsiTheme="minorHAnsi" w:cs="Arial"/>
        </w:rPr>
        <w:t>;</w:t>
      </w:r>
      <w:r w:rsidR="00791E25">
        <w:rPr>
          <w:rFonts w:asciiTheme="minorHAnsi" w:hAnsiTheme="minorHAnsi" w:cs="Arial"/>
        </w:rPr>
        <w:t xml:space="preserve"> up </w:t>
      </w:r>
      <w:r w:rsidR="003629DF">
        <w:rPr>
          <w:rFonts w:asciiTheme="minorHAnsi" w:hAnsiTheme="minorHAnsi" w:cs="Arial"/>
        </w:rPr>
        <w:t xml:space="preserve">to </w:t>
      </w:r>
      <w:r w:rsidR="003629DF" w:rsidRPr="0035531C">
        <w:rPr>
          <w:rFonts w:asciiTheme="minorHAnsi" w:hAnsiTheme="minorHAnsi" w:cs="Arial"/>
        </w:rPr>
        <w:t>4</w:t>
      </w:r>
      <w:r w:rsidR="0035531C" w:rsidRPr="0035531C">
        <w:rPr>
          <w:rFonts w:asciiTheme="minorHAnsi" w:hAnsiTheme="minorHAnsi" w:cs="Arial"/>
        </w:rPr>
        <w:t>mph</w:t>
      </w:r>
      <w:r w:rsidR="005B16C6">
        <w:rPr>
          <w:rFonts w:asciiTheme="minorHAnsi" w:hAnsiTheme="minorHAnsi" w:cs="Arial"/>
        </w:rPr>
        <w:t>.</w:t>
      </w:r>
      <w:r w:rsidR="0081109F">
        <w:rPr>
          <w:rFonts w:asciiTheme="minorHAnsi" w:hAnsiTheme="minorHAnsi" w:cs="Arial"/>
        </w:rPr>
        <w:t xml:space="preserve"> They may also be used on the road to cross </w:t>
      </w:r>
      <w:r w:rsidR="000830AD">
        <w:rPr>
          <w:rFonts w:asciiTheme="minorHAnsi" w:hAnsiTheme="minorHAnsi" w:cs="Arial"/>
        </w:rPr>
        <w:t>from one pavement to another or where no pavement is available; and</w:t>
      </w:r>
    </w:p>
    <w:p w14:paraId="5E3DCBB4" w14:textId="77777777" w:rsidR="005B16C6" w:rsidRPr="0035531C" w:rsidRDefault="005B16C6" w:rsidP="007A298B">
      <w:pPr>
        <w:spacing w:after="0"/>
        <w:rPr>
          <w:rFonts w:asciiTheme="minorHAnsi" w:hAnsiTheme="minorHAnsi" w:cs="Arial"/>
        </w:rPr>
      </w:pPr>
    </w:p>
    <w:p w14:paraId="42D2098F" w14:textId="77777777" w:rsidR="00F71D57" w:rsidRPr="00F71D57" w:rsidRDefault="0035531C" w:rsidP="007A298B">
      <w:pPr>
        <w:spacing w:after="0"/>
        <w:rPr>
          <w:rFonts w:asciiTheme="minorHAnsi" w:hAnsiTheme="minorHAnsi" w:cs="Arial"/>
          <w:b/>
          <w:u w:val="single"/>
        </w:rPr>
      </w:pPr>
      <w:r w:rsidRPr="00F71D57">
        <w:rPr>
          <w:rFonts w:asciiTheme="minorHAnsi" w:hAnsiTheme="minorHAnsi" w:cs="Arial"/>
          <w:b/>
          <w:u w:val="single"/>
        </w:rPr>
        <w:t>Class 3 Vehicles</w:t>
      </w:r>
    </w:p>
    <w:p w14:paraId="730386B2" w14:textId="3B4B0E54" w:rsidR="00A84B56" w:rsidRPr="003629DF" w:rsidRDefault="69E15622" w:rsidP="11067ABC">
      <w:pPr>
        <w:spacing w:after="0"/>
        <w:rPr>
          <w:rFonts w:asciiTheme="minorHAnsi" w:hAnsiTheme="minorHAnsi" w:cs="Arial"/>
        </w:rPr>
      </w:pPr>
      <w:r w:rsidRPr="11067ABC">
        <w:rPr>
          <w:rFonts w:asciiTheme="minorHAnsi" w:hAnsiTheme="minorHAnsi" w:cs="Arial"/>
        </w:rPr>
        <w:t>C</w:t>
      </w:r>
      <w:r w:rsidR="00A84B56" w:rsidRPr="11067ABC">
        <w:rPr>
          <w:rFonts w:asciiTheme="minorHAnsi" w:hAnsiTheme="minorHAnsi" w:cs="Arial"/>
        </w:rPr>
        <w:t>an be used on pavements up to 4mph and on roads up to 8mph. They are required by law to be registered with the DVLA for road use. These vehicles will be licensed in the disabled taxation class.</w:t>
      </w:r>
    </w:p>
    <w:p w14:paraId="767B3AC3" w14:textId="77777777" w:rsidR="00D30EE8" w:rsidRDefault="00D30EE8" w:rsidP="007A298B">
      <w:pPr>
        <w:spacing w:after="0"/>
        <w:rPr>
          <w:rFonts w:asciiTheme="minorHAnsi" w:hAnsiTheme="minorHAnsi" w:cs="Arial"/>
        </w:rPr>
      </w:pPr>
    </w:p>
    <w:p w14:paraId="033A2483" w14:textId="36BDA082" w:rsidR="00D30EE8" w:rsidRDefault="00D30EE8" w:rsidP="007A298B">
      <w:pPr>
        <w:spacing w:after="0"/>
        <w:rPr>
          <w:rFonts w:asciiTheme="minorHAnsi" w:hAnsiTheme="minorHAnsi" w:cs="Arial"/>
        </w:rPr>
      </w:pPr>
      <w:r>
        <w:rPr>
          <w:rFonts w:asciiTheme="minorHAnsi" w:hAnsiTheme="minorHAnsi" w:cs="Arial"/>
        </w:rPr>
        <w:t>This policy applies to Class 2 or 3 vehicles as defined above or any powered wheelchair.</w:t>
      </w:r>
    </w:p>
    <w:p w14:paraId="7DD2660A" w14:textId="77777777" w:rsidR="009C34F0" w:rsidRPr="0035531C" w:rsidRDefault="009C34F0" w:rsidP="007A298B">
      <w:pPr>
        <w:rPr>
          <w:rFonts w:asciiTheme="minorHAnsi" w:hAnsiTheme="minorHAnsi" w:cs="Arial"/>
        </w:rPr>
      </w:pPr>
    </w:p>
    <w:p w14:paraId="24FB7929" w14:textId="4CA169C2" w:rsidR="009435AA" w:rsidRDefault="00566CA9" w:rsidP="007A298B">
      <w:pPr>
        <w:spacing w:after="0"/>
        <w:rPr>
          <w:rFonts w:eastAsiaTheme="minorHAnsi" w:cs="Calibri"/>
        </w:rPr>
      </w:pPr>
      <w:r>
        <w:rPr>
          <w:rFonts w:eastAsiaTheme="minorHAnsi" w:cs="Calibri"/>
        </w:rPr>
        <w:lastRenderedPageBreak/>
        <w:t>5</w:t>
      </w:r>
      <w:r w:rsidR="00816897" w:rsidRPr="00816897">
        <w:rPr>
          <w:rFonts w:eastAsiaTheme="minorHAnsi" w:cs="Calibri"/>
        </w:rPr>
        <w:t>.2</w:t>
      </w:r>
      <w:r w:rsidR="00816897" w:rsidRPr="00816897">
        <w:rPr>
          <w:rFonts w:eastAsiaTheme="minorHAnsi" w:cs="Calibri"/>
        </w:rPr>
        <w:tab/>
      </w:r>
      <w:r w:rsidR="00816897">
        <w:rPr>
          <w:rFonts w:eastAsiaTheme="minorHAnsi" w:cs="Calibri"/>
        </w:rPr>
        <w:t xml:space="preserve">The ‘communal area’ refers to those parts of a </w:t>
      </w:r>
      <w:r w:rsidR="00335C6D">
        <w:rPr>
          <w:rFonts w:eastAsiaTheme="minorHAnsi" w:cs="Calibri"/>
        </w:rPr>
        <w:t xml:space="preserve">block of flats/property which </w:t>
      </w:r>
      <w:r w:rsidR="00FE0FB8">
        <w:rPr>
          <w:rFonts w:eastAsiaTheme="minorHAnsi" w:cs="Calibri"/>
        </w:rPr>
        <w:t>residents</w:t>
      </w:r>
      <w:r w:rsidR="00335C6D">
        <w:rPr>
          <w:rFonts w:eastAsiaTheme="minorHAnsi" w:cs="Calibri"/>
        </w:rPr>
        <w:t xml:space="preserve"> have a right to use in common with other </w:t>
      </w:r>
      <w:r w:rsidR="00FE0FB8">
        <w:rPr>
          <w:rFonts w:eastAsiaTheme="minorHAnsi" w:cs="Calibri"/>
        </w:rPr>
        <w:t>residents</w:t>
      </w:r>
      <w:r w:rsidR="00335C6D">
        <w:rPr>
          <w:rFonts w:eastAsiaTheme="minorHAnsi" w:cs="Calibri"/>
        </w:rPr>
        <w:t xml:space="preserve"> and for which H</w:t>
      </w:r>
      <w:r w:rsidR="00C15B33">
        <w:rPr>
          <w:rFonts w:eastAsiaTheme="minorHAnsi" w:cs="Calibri"/>
        </w:rPr>
        <w:t xml:space="preserve">ousing </w:t>
      </w:r>
      <w:r w:rsidR="00335C6D">
        <w:rPr>
          <w:rFonts w:eastAsiaTheme="minorHAnsi" w:cs="Calibri"/>
        </w:rPr>
        <w:t xml:space="preserve">21 is responsible. This includes but is not limited to stairways, landings, lifts, entrance halls, hallways, lobbies, fire safety equipment, shared gardens, bin stores, </w:t>
      </w:r>
      <w:r w:rsidR="00F064C2">
        <w:rPr>
          <w:rFonts w:eastAsiaTheme="minorHAnsi" w:cs="Calibri"/>
        </w:rPr>
        <w:t xml:space="preserve">sheds, electrical cupboards, parking areas, refuse areas and </w:t>
      </w:r>
      <w:r w:rsidR="00BC7EC3">
        <w:rPr>
          <w:rFonts w:eastAsiaTheme="minorHAnsi" w:cs="Calibri"/>
        </w:rPr>
        <w:t>mobility vehicle</w:t>
      </w:r>
      <w:r w:rsidR="00F064C2">
        <w:rPr>
          <w:rFonts w:eastAsiaTheme="minorHAnsi" w:cs="Calibri"/>
        </w:rPr>
        <w:t xml:space="preserve"> stores. It also includes areas necessary to gain access to the property.</w:t>
      </w:r>
    </w:p>
    <w:p w14:paraId="20177B41" w14:textId="77777777" w:rsidR="001C76B1" w:rsidRDefault="001C76B1" w:rsidP="007A298B">
      <w:pPr>
        <w:spacing w:after="0"/>
        <w:rPr>
          <w:rFonts w:eastAsiaTheme="minorHAnsi" w:cs="Calibri"/>
        </w:rPr>
      </w:pPr>
    </w:p>
    <w:p w14:paraId="6262CA44" w14:textId="77777777" w:rsidR="001C76B1" w:rsidRDefault="001C76B1" w:rsidP="007A298B">
      <w:pPr>
        <w:spacing w:after="0"/>
        <w:rPr>
          <w:rFonts w:eastAsiaTheme="minorHAnsi" w:cs="Calibri"/>
        </w:rPr>
      </w:pPr>
    </w:p>
    <w:p w14:paraId="474F2CE3" w14:textId="20F7D858" w:rsidR="001C76B1" w:rsidRPr="00E447C6" w:rsidRDefault="00566CA9" w:rsidP="00E447C6">
      <w:pPr>
        <w:pStyle w:val="Heading8"/>
        <w:rPr>
          <w:b/>
          <w:color w:val="2F5496" w:themeColor="accent1" w:themeShade="BF"/>
        </w:rPr>
      </w:pPr>
      <w:r w:rsidRPr="00E447C6">
        <w:rPr>
          <w:b/>
          <w:color w:val="2F5496" w:themeColor="accent1" w:themeShade="BF"/>
          <w:sz w:val="22"/>
          <w:szCs w:val="22"/>
        </w:rPr>
        <w:t>6</w:t>
      </w:r>
      <w:r w:rsidR="001C76B1" w:rsidRPr="00E447C6">
        <w:rPr>
          <w:b/>
          <w:color w:val="2F5496" w:themeColor="accent1" w:themeShade="BF"/>
          <w:sz w:val="22"/>
          <w:szCs w:val="22"/>
        </w:rPr>
        <w:t>.</w:t>
      </w:r>
      <w:r w:rsidR="001C76B1" w:rsidRPr="00E447C6">
        <w:rPr>
          <w:b/>
          <w:color w:val="2F5496" w:themeColor="accent1" w:themeShade="BF"/>
          <w:sz w:val="22"/>
          <w:szCs w:val="22"/>
        </w:rPr>
        <w:tab/>
        <w:t>Further help and advice</w:t>
      </w:r>
    </w:p>
    <w:p w14:paraId="7E7AD51E" w14:textId="77777777" w:rsidR="00ED5E49" w:rsidRDefault="00ED5E49" w:rsidP="007A298B">
      <w:pPr>
        <w:spacing w:after="0"/>
        <w:rPr>
          <w:rFonts w:eastAsiaTheme="minorHAnsi" w:cs="Calibri"/>
          <w:b/>
          <w:bCs/>
        </w:rPr>
      </w:pPr>
    </w:p>
    <w:p w14:paraId="40E52AA2" w14:textId="3547EEE1" w:rsidR="00ED5E49" w:rsidRDefault="008251A6" w:rsidP="007A298B">
      <w:pPr>
        <w:spacing w:after="0"/>
        <w:rPr>
          <w:rFonts w:eastAsiaTheme="minorHAnsi" w:cs="Calibri"/>
        </w:rPr>
      </w:pPr>
      <w:hyperlink r:id="rId14" w:history="1">
        <w:r w:rsidR="00B13821">
          <w:rPr>
            <w:color w:val="0000FF"/>
            <w:u w:val="single"/>
          </w:rPr>
          <w:t>Motability Scheme</w:t>
        </w:r>
      </w:hyperlink>
      <w:r w:rsidR="00B13821">
        <w:t xml:space="preserve"> </w:t>
      </w:r>
      <w:r w:rsidR="00B13821">
        <w:rPr>
          <w:rFonts w:eastAsiaTheme="minorHAnsi" w:cs="Calibri"/>
          <w:b/>
          <w:bCs/>
        </w:rPr>
        <w:t xml:space="preserve"> </w:t>
      </w:r>
      <w:r w:rsidR="00ED5E49" w:rsidRPr="00B13821">
        <w:rPr>
          <w:rFonts w:eastAsiaTheme="minorHAnsi" w:cs="Calibri"/>
        </w:rPr>
        <w:t xml:space="preserve">Exchange your qualifying mobility allowance for a </w:t>
      </w:r>
      <w:r w:rsidR="003E1723" w:rsidRPr="00B13821">
        <w:rPr>
          <w:rFonts w:eastAsiaTheme="minorHAnsi" w:cs="Calibri"/>
        </w:rPr>
        <w:t>brand-new car, Wheelchair Accessible Vehicle (WAV), scooter or powered wheelchair, so you can enjoy more freedom an</w:t>
      </w:r>
      <w:r w:rsidR="00B13821">
        <w:rPr>
          <w:rFonts w:eastAsiaTheme="minorHAnsi" w:cs="Calibri"/>
        </w:rPr>
        <w:t>d</w:t>
      </w:r>
      <w:r w:rsidR="003E1723" w:rsidRPr="00B13821">
        <w:rPr>
          <w:rFonts w:eastAsiaTheme="minorHAnsi" w:cs="Calibri"/>
        </w:rPr>
        <w:t xml:space="preserve"> independence.</w:t>
      </w:r>
    </w:p>
    <w:p w14:paraId="7DC14F80" w14:textId="77777777" w:rsidR="006803BB" w:rsidRDefault="006803BB" w:rsidP="007A298B">
      <w:pPr>
        <w:spacing w:after="0"/>
        <w:rPr>
          <w:rFonts w:eastAsiaTheme="minorHAnsi" w:cs="Calibri"/>
        </w:rPr>
      </w:pPr>
    </w:p>
    <w:p w14:paraId="65F7739E" w14:textId="642B011E" w:rsidR="00B13821" w:rsidRDefault="008251A6" w:rsidP="002C50D9">
      <w:pPr>
        <w:spacing w:after="0"/>
      </w:pPr>
      <w:hyperlink r:id="rId15" w:history="1">
        <w:r w:rsidR="00914C34" w:rsidRPr="00914C34">
          <w:rPr>
            <w:color w:val="0000FF"/>
            <w:u w:val="single"/>
          </w:rPr>
          <w:t>Financial help if you're disabled: Vehicles and transport - GOV.UK (www.gov.uk)</w:t>
        </w:r>
      </w:hyperlink>
    </w:p>
    <w:p w14:paraId="23367796" w14:textId="77777777" w:rsidR="006803BB" w:rsidRDefault="006803BB" w:rsidP="002C50D9">
      <w:pPr>
        <w:spacing w:after="0"/>
      </w:pPr>
    </w:p>
    <w:p w14:paraId="44AA737E" w14:textId="607355DE" w:rsidR="00C14CB0" w:rsidRDefault="008251A6" w:rsidP="002C50D9">
      <w:pPr>
        <w:spacing w:after="0"/>
        <w:rPr>
          <w:rFonts w:eastAsiaTheme="minorHAnsi" w:cs="Calibri"/>
        </w:rPr>
      </w:pPr>
      <w:hyperlink r:id="rId16" w:history="1">
        <w:r w:rsidR="00C14CB0" w:rsidRPr="00C14CB0">
          <w:rPr>
            <w:color w:val="0000FF"/>
            <w:u w:val="single"/>
          </w:rPr>
          <w:t>Charity Funding Options - Better Mobility - Wheelchairs, Powerchairs, Scooters and Living Aids</w:t>
        </w:r>
      </w:hyperlink>
    </w:p>
    <w:p w14:paraId="731EC317" w14:textId="77777777" w:rsidR="00B13821" w:rsidRDefault="00B13821" w:rsidP="007A298B">
      <w:pPr>
        <w:spacing w:after="0"/>
        <w:rPr>
          <w:rFonts w:eastAsiaTheme="minorHAnsi" w:cs="Calibri"/>
          <w:b/>
          <w:bCs/>
        </w:rPr>
      </w:pPr>
    </w:p>
    <w:p w14:paraId="45A8E3BF" w14:textId="77777777" w:rsidR="00FA5D1E" w:rsidRDefault="00FA5D1E" w:rsidP="007A298B">
      <w:pPr>
        <w:spacing w:after="0"/>
        <w:rPr>
          <w:rFonts w:eastAsiaTheme="minorHAnsi" w:cs="Calibri"/>
          <w:b/>
          <w:bCs/>
        </w:rPr>
      </w:pPr>
    </w:p>
    <w:p w14:paraId="6BB6A479" w14:textId="5241DF53" w:rsidR="00F57ABD" w:rsidRPr="00E447C6" w:rsidRDefault="00566CA9" w:rsidP="00E447C6">
      <w:pPr>
        <w:pStyle w:val="Heading9"/>
        <w:rPr>
          <w:b/>
          <w:color w:val="2F5496" w:themeColor="accent1" w:themeShade="BF"/>
        </w:rPr>
      </w:pPr>
      <w:r w:rsidRPr="00E447C6">
        <w:rPr>
          <w:b/>
          <w:i w:val="0"/>
          <w:color w:val="2F5496" w:themeColor="accent1" w:themeShade="BF"/>
          <w:sz w:val="22"/>
          <w:szCs w:val="22"/>
        </w:rPr>
        <w:t>7</w:t>
      </w:r>
      <w:r w:rsidR="00984C8B" w:rsidRPr="00E447C6">
        <w:rPr>
          <w:b/>
          <w:i w:val="0"/>
          <w:color w:val="2F5496" w:themeColor="accent1" w:themeShade="BF"/>
          <w:sz w:val="22"/>
          <w:szCs w:val="22"/>
        </w:rPr>
        <w:t>.</w:t>
      </w:r>
      <w:r w:rsidR="00984C8B" w:rsidRPr="00E447C6">
        <w:rPr>
          <w:b/>
          <w:i w:val="0"/>
          <w:color w:val="2F5496" w:themeColor="accent1" w:themeShade="BF"/>
          <w:sz w:val="22"/>
          <w:szCs w:val="22"/>
        </w:rPr>
        <w:tab/>
      </w:r>
      <w:r w:rsidR="00907941" w:rsidRPr="00E447C6">
        <w:rPr>
          <w:b/>
          <w:i w:val="0"/>
          <w:color w:val="2F5496" w:themeColor="accent1" w:themeShade="BF"/>
          <w:sz w:val="22"/>
          <w:szCs w:val="22"/>
        </w:rPr>
        <w:t xml:space="preserve">Monitoring and </w:t>
      </w:r>
      <w:r w:rsidR="00706385" w:rsidRPr="00E447C6">
        <w:rPr>
          <w:b/>
          <w:i w:val="0"/>
          <w:color w:val="2F5496" w:themeColor="accent1" w:themeShade="BF"/>
          <w:sz w:val="22"/>
          <w:szCs w:val="22"/>
        </w:rPr>
        <w:t>R</w:t>
      </w:r>
      <w:r w:rsidR="00907941" w:rsidRPr="00E447C6">
        <w:rPr>
          <w:b/>
          <w:i w:val="0"/>
          <w:color w:val="2F5496" w:themeColor="accent1" w:themeShade="BF"/>
          <w:sz w:val="22"/>
          <w:szCs w:val="22"/>
        </w:rPr>
        <w:t>eview</w:t>
      </w:r>
    </w:p>
    <w:p w14:paraId="56CFB856" w14:textId="77777777" w:rsidR="00F57ABD" w:rsidRPr="00042127" w:rsidRDefault="00F57ABD" w:rsidP="007A298B">
      <w:pPr>
        <w:pStyle w:val="ListParagraph"/>
        <w:spacing w:after="0"/>
        <w:ind w:left="360"/>
        <w:rPr>
          <w:rFonts w:eastAsiaTheme="minorHAnsi" w:cs="Calibri"/>
          <w:b/>
          <w:bCs/>
        </w:rPr>
      </w:pPr>
    </w:p>
    <w:p w14:paraId="0E26239A" w14:textId="4D0C3883" w:rsidR="00F57ABD" w:rsidRPr="00865E5F" w:rsidRDefault="00566CA9" w:rsidP="00C15B33">
      <w:pPr>
        <w:spacing w:after="0"/>
        <w:ind w:left="720" w:hanging="720"/>
        <w:rPr>
          <w:rFonts w:eastAsiaTheme="minorHAnsi" w:cs="Calibri"/>
          <w:b/>
          <w:bCs/>
        </w:rPr>
      </w:pPr>
      <w:r>
        <w:rPr>
          <w:rFonts w:eastAsiaTheme="minorHAnsi" w:cs="Calibri"/>
        </w:rPr>
        <w:t>7</w:t>
      </w:r>
      <w:r w:rsidR="00094B21">
        <w:rPr>
          <w:rFonts w:eastAsiaTheme="minorHAnsi" w:cs="Calibri"/>
        </w:rPr>
        <w:t>.1</w:t>
      </w:r>
      <w:r w:rsidR="00094B21">
        <w:rPr>
          <w:rFonts w:eastAsiaTheme="minorHAnsi" w:cs="Calibri"/>
        </w:rPr>
        <w:tab/>
      </w:r>
      <w:r w:rsidR="00907941" w:rsidRPr="00865E5F">
        <w:rPr>
          <w:rFonts w:eastAsiaTheme="minorHAnsi" w:cs="Calibri"/>
        </w:rPr>
        <w:t>This policy will be subject to review every t</w:t>
      </w:r>
      <w:r w:rsidR="00706385" w:rsidRPr="00865E5F">
        <w:rPr>
          <w:rFonts w:eastAsiaTheme="minorHAnsi" w:cs="Calibri"/>
        </w:rPr>
        <w:t>hree</w:t>
      </w:r>
      <w:r w:rsidR="00907941" w:rsidRPr="00865E5F">
        <w:rPr>
          <w:rFonts w:eastAsiaTheme="minorHAnsi" w:cs="Calibri"/>
        </w:rPr>
        <w:t xml:space="preserve"> years</w:t>
      </w:r>
      <w:r w:rsidR="00706385" w:rsidRPr="00865E5F">
        <w:rPr>
          <w:rFonts w:eastAsiaTheme="minorHAnsi" w:cs="Calibri"/>
        </w:rPr>
        <w:t xml:space="preserve"> unless there any </w:t>
      </w:r>
      <w:r w:rsidR="002763F2" w:rsidRPr="00865E5F">
        <w:rPr>
          <w:rFonts w:eastAsiaTheme="minorHAnsi" w:cs="Calibri"/>
        </w:rPr>
        <w:t>legal or regulatory changes are required</w:t>
      </w:r>
      <w:r w:rsidR="00BD63F3">
        <w:rPr>
          <w:rFonts w:eastAsiaTheme="minorHAnsi" w:cs="Calibri"/>
        </w:rPr>
        <w:t>.</w:t>
      </w:r>
    </w:p>
    <w:p w14:paraId="27DEE1DD" w14:textId="77777777" w:rsidR="00F57ABD" w:rsidRPr="00042127" w:rsidRDefault="00F57ABD" w:rsidP="007A298B">
      <w:pPr>
        <w:pStyle w:val="ListParagraph"/>
        <w:spacing w:after="0"/>
        <w:ind w:left="709" w:hanging="792"/>
        <w:rPr>
          <w:rFonts w:eastAsiaTheme="minorHAnsi" w:cs="Calibri"/>
          <w:b/>
          <w:bCs/>
        </w:rPr>
      </w:pPr>
    </w:p>
    <w:p w14:paraId="5F7A9265" w14:textId="79C1B262" w:rsidR="006828CF" w:rsidRDefault="00566CA9" w:rsidP="00C15B33">
      <w:pPr>
        <w:pStyle w:val="ListParagraph"/>
        <w:spacing w:after="0"/>
        <w:ind w:hanging="720"/>
        <w:rPr>
          <w:rFonts w:eastAsiaTheme="minorHAnsi" w:cs="Calibri"/>
        </w:rPr>
      </w:pPr>
      <w:r>
        <w:rPr>
          <w:rFonts w:eastAsiaTheme="minorHAnsi" w:cs="Calibri"/>
        </w:rPr>
        <w:t>7</w:t>
      </w:r>
      <w:r w:rsidR="00094B21">
        <w:rPr>
          <w:rFonts w:eastAsiaTheme="minorHAnsi" w:cs="Calibri"/>
        </w:rPr>
        <w:t>.2</w:t>
      </w:r>
      <w:r w:rsidR="00094B21">
        <w:rPr>
          <w:rFonts w:eastAsiaTheme="minorHAnsi" w:cs="Calibri"/>
        </w:rPr>
        <w:tab/>
      </w:r>
      <w:r w:rsidR="00907941" w:rsidRPr="003F6ADC">
        <w:rPr>
          <w:rFonts w:eastAsiaTheme="minorHAnsi" w:cs="Calibri"/>
        </w:rPr>
        <w:t xml:space="preserve">To check the policy is being implemented correctly, there will be routine </w:t>
      </w:r>
      <w:r w:rsidR="00C6637C" w:rsidRPr="003F6ADC">
        <w:rPr>
          <w:rFonts w:eastAsiaTheme="minorHAnsi" w:cs="Calibri"/>
        </w:rPr>
        <w:t>inspections</w:t>
      </w:r>
      <w:r w:rsidR="00501712" w:rsidRPr="003F6ADC">
        <w:rPr>
          <w:rFonts w:eastAsiaTheme="minorHAnsi" w:cs="Calibri"/>
        </w:rPr>
        <w:t xml:space="preserve"> which incorporate the storage and use of mobility vehicles on court;</w:t>
      </w:r>
      <w:r w:rsidR="00C6637C" w:rsidRPr="003F6ADC">
        <w:rPr>
          <w:rFonts w:eastAsiaTheme="minorHAnsi" w:cs="Calibri"/>
        </w:rPr>
        <w:t xml:space="preserve"> Court Risk Assessment</w:t>
      </w:r>
      <w:r w:rsidR="00501712" w:rsidRPr="003F6ADC">
        <w:rPr>
          <w:rFonts w:eastAsiaTheme="minorHAnsi" w:cs="Calibri"/>
        </w:rPr>
        <w:t>/</w:t>
      </w:r>
      <w:r w:rsidR="00C6637C" w:rsidRPr="003F6ADC">
        <w:rPr>
          <w:rFonts w:eastAsiaTheme="minorHAnsi" w:cs="Calibri"/>
        </w:rPr>
        <w:t>Fire Risk Assessment</w:t>
      </w:r>
      <w:r w:rsidR="00501712" w:rsidRPr="003F6ADC">
        <w:rPr>
          <w:rFonts w:eastAsiaTheme="minorHAnsi" w:cs="Calibri"/>
        </w:rPr>
        <w:t>.</w:t>
      </w:r>
    </w:p>
    <w:p w14:paraId="608D7B89" w14:textId="77777777" w:rsidR="000D3E3C" w:rsidRDefault="000D3E3C" w:rsidP="007A298B">
      <w:pPr>
        <w:pStyle w:val="ListParagraph"/>
        <w:spacing w:after="0"/>
        <w:ind w:left="0"/>
        <w:rPr>
          <w:rFonts w:eastAsiaTheme="minorHAnsi" w:cs="Calibri"/>
        </w:rPr>
      </w:pPr>
    </w:p>
    <w:p w14:paraId="48127FA4" w14:textId="77777777" w:rsidR="0038700C" w:rsidRDefault="0038700C" w:rsidP="007A298B">
      <w:pPr>
        <w:pStyle w:val="ListParagraph"/>
        <w:spacing w:after="0"/>
        <w:ind w:left="0"/>
        <w:rPr>
          <w:rFonts w:eastAsiaTheme="minorHAnsi" w:cs="Calibri"/>
        </w:rPr>
      </w:pPr>
    </w:p>
    <w:p w14:paraId="21DFDE04" w14:textId="1EA6F4D7" w:rsidR="006828CF" w:rsidRPr="00E447C6" w:rsidRDefault="00566CA9" w:rsidP="00E447C6">
      <w:pPr>
        <w:pStyle w:val="Heading9"/>
        <w:rPr>
          <w:b/>
          <w:color w:val="2F5496" w:themeColor="accent1" w:themeShade="BF"/>
        </w:rPr>
      </w:pPr>
      <w:r w:rsidRPr="00E447C6">
        <w:rPr>
          <w:b/>
          <w:i w:val="0"/>
          <w:color w:val="2F5496" w:themeColor="accent1" w:themeShade="BF"/>
          <w:sz w:val="22"/>
          <w:szCs w:val="22"/>
        </w:rPr>
        <w:t>8</w:t>
      </w:r>
      <w:r w:rsidR="00984C8B" w:rsidRPr="00E447C6">
        <w:rPr>
          <w:b/>
          <w:i w:val="0"/>
          <w:color w:val="2F5496" w:themeColor="accent1" w:themeShade="BF"/>
          <w:sz w:val="22"/>
          <w:szCs w:val="22"/>
        </w:rPr>
        <w:t>.</w:t>
      </w:r>
      <w:r w:rsidR="00984C8B" w:rsidRPr="00E447C6">
        <w:rPr>
          <w:b/>
          <w:i w:val="0"/>
          <w:color w:val="2F5496" w:themeColor="accent1" w:themeShade="BF"/>
          <w:sz w:val="22"/>
          <w:szCs w:val="22"/>
        </w:rPr>
        <w:tab/>
      </w:r>
      <w:r w:rsidR="00907941" w:rsidRPr="00E447C6">
        <w:rPr>
          <w:b/>
          <w:i w:val="0"/>
          <w:color w:val="2F5496" w:themeColor="accent1" w:themeShade="BF"/>
          <w:sz w:val="22"/>
          <w:szCs w:val="22"/>
        </w:rPr>
        <w:t>Procedures</w:t>
      </w:r>
    </w:p>
    <w:p w14:paraId="6EEEECF8" w14:textId="77777777" w:rsidR="006828CF" w:rsidRPr="00042127" w:rsidRDefault="006828CF" w:rsidP="007A298B">
      <w:pPr>
        <w:pStyle w:val="ListParagraph"/>
        <w:spacing w:after="0"/>
        <w:ind w:left="360"/>
        <w:rPr>
          <w:rFonts w:eastAsiaTheme="minorHAnsi" w:cs="Calibri"/>
          <w:b/>
          <w:bCs/>
        </w:rPr>
      </w:pPr>
    </w:p>
    <w:p w14:paraId="58BB7F71" w14:textId="13BAE9F8" w:rsidR="00907941" w:rsidRDefault="00907941" w:rsidP="007A298B">
      <w:pPr>
        <w:spacing w:after="0"/>
        <w:rPr>
          <w:rFonts w:eastAsiaTheme="minorHAnsi" w:cs="Calibri"/>
        </w:rPr>
      </w:pPr>
      <w:r w:rsidRPr="00EB7E61">
        <w:rPr>
          <w:rFonts w:eastAsiaTheme="minorHAnsi" w:cs="Calibri"/>
        </w:rPr>
        <w:t>The following</w:t>
      </w:r>
      <w:r w:rsidR="00FA5D1E">
        <w:rPr>
          <w:rFonts w:eastAsiaTheme="minorHAnsi" w:cs="Calibri"/>
        </w:rPr>
        <w:t xml:space="preserve"> ‘How to’</w:t>
      </w:r>
      <w:r w:rsidRPr="00EB7E61">
        <w:rPr>
          <w:rFonts w:eastAsiaTheme="minorHAnsi" w:cs="Calibri"/>
        </w:rPr>
        <w:t xml:space="preserve"> procedures accompany this policy:</w:t>
      </w:r>
    </w:p>
    <w:p w14:paraId="610E8894" w14:textId="77777777" w:rsidR="00C15B33" w:rsidRPr="00EB7E61" w:rsidRDefault="00C15B33" w:rsidP="007A298B">
      <w:pPr>
        <w:spacing w:after="0"/>
        <w:rPr>
          <w:rFonts w:eastAsiaTheme="minorHAnsi" w:cs="Calibri"/>
          <w:b/>
          <w:bCs/>
        </w:rPr>
      </w:pPr>
    </w:p>
    <w:p w14:paraId="2C14F389" w14:textId="63D46C10" w:rsidR="00907941" w:rsidRPr="00042127" w:rsidRDefault="00907941" w:rsidP="007A298B">
      <w:pPr>
        <w:numPr>
          <w:ilvl w:val="0"/>
          <w:numId w:val="1"/>
        </w:numPr>
        <w:spacing w:after="0"/>
        <w:ind w:hanging="731"/>
        <w:rPr>
          <w:rFonts w:eastAsia="Times New Roman" w:cs="Calibri"/>
        </w:rPr>
      </w:pPr>
      <w:r w:rsidRPr="00042127">
        <w:rPr>
          <w:rFonts w:eastAsia="Times New Roman" w:cs="Calibri"/>
        </w:rPr>
        <w:t xml:space="preserve">How to procedure – </w:t>
      </w:r>
      <w:r w:rsidR="00277C92">
        <w:rPr>
          <w:rFonts w:eastAsia="Times New Roman" w:cs="Calibri"/>
        </w:rPr>
        <w:t xml:space="preserve">what do residents have to do to keep a </w:t>
      </w:r>
      <w:r w:rsidR="00BC7EC3">
        <w:rPr>
          <w:rFonts w:eastAsia="Times New Roman" w:cs="Calibri"/>
        </w:rPr>
        <w:t>mobility vehicle</w:t>
      </w:r>
      <w:r w:rsidR="00277C92">
        <w:rPr>
          <w:rFonts w:eastAsia="Times New Roman" w:cs="Calibri"/>
        </w:rPr>
        <w:t xml:space="preserve"> on the court?</w:t>
      </w:r>
    </w:p>
    <w:p w14:paraId="3ACF8E4F" w14:textId="104EFDB1" w:rsidR="00907941" w:rsidRPr="00042127" w:rsidRDefault="00907941" w:rsidP="007A298B">
      <w:pPr>
        <w:numPr>
          <w:ilvl w:val="0"/>
          <w:numId w:val="1"/>
        </w:numPr>
        <w:spacing w:after="0"/>
        <w:ind w:hanging="731"/>
        <w:rPr>
          <w:rFonts w:eastAsia="Times New Roman" w:cs="Calibri"/>
        </w:rPr>
      </w:pPr>
      <w:r w:rsidRPr="00042127">
        <w:rPr>
          <w:rFonts w:eastAsia="Times New Roman" w:cs="Calibri"/>
        </w:rPr>
        <w:t xml:space="preserve">How to procedure – </w:t>
      </w:r>
      <w:r w:rsidR="00D84F15">
        <w:rPr>
          <w:rFonts w:eastAsia="Times New Roman" w:cs="Calibri"/>
        </w:rPr>
        <w:t xml:space="preserve">where can </w:t>
      </w:r>
      <w:r w:rsidR="00BC7EC3">
        <w:rPr>
          <w:rFonts w:eastAsia="Times New Roman" w:cs="Calibri"/>
        </w:rPr>
        <w:t>mobility vehicle</w:t>
      </w:r>
      <w:r w:rsidR="00D84F15">
        <w:rPr>
          <w:rFonts w:eastAsia="Times New Roman" w:cs="Calibri"/>
        </w:rPr>
        <w:t>s be stored?</w:t>
      </w:r>
      <w:r w:rsidRPr="00042127">
        <w:rPr>
          <w:rFonts w:eastAsia="Times New Roman" w:cs="Calibri"/>
        </w:rPr>
        <w:t xml:space="preserve"> </w:t>
      </w:r>
    </w:p>
    <w:p w14:paraId="479347BD" w14:textId="2AED9224" w:rsidR="00907941" w:rsidRDefault="00907941" w:rsidP="007A298B">
      <w:pPr>
        <w:numPr>
          <w:ilvl w:val="0"/>
          <w:numId w:val="1"/>
        </w:numPr>
        <w:spacing w:after="0"/>
        <w:ind w:hanging="731"/>
        <w:rPr>
          <w:rFonts w:eastAsia="Times New Roman" w:cs="Calibri"/>
        </w:rPr>
      </w:pPr>
      <w:r w:rsidRPr="00042127">
        <w:rPr>
          <w:rFonts w:eastAsia="Times New Roman" w:cs="Calibri"/>
        </w:rPr>
        <w:t xml:space="preserve">How to procedure – </w:t>
      </w:r>
      <w:r w:rsidR="004D4B80">
        <w:rPr>
          <w:rFonts w:eastAsia="Times New Roman" w:cs="Calibri"/>
        </w:rPr>
        <w:t xml:space="preserve">use of </w:t>
      </w:r>
      <w:r w:rsidR="00BC7EC3">
        <w:rPr>
          <w:rFonts w:eastAsia="Times New Roman" w:cs="Calibri"/>
        </w:rPr>
        <w:t>mobility vehicle</w:t>
      </w:r>
      <w:r w:rsidR="004D4B80">
        <w:rPr>
          <w:rFonts w:eastAsia="Times New Roman" w:cs="Calibri"/>
        </w:rPr>
        <w:t>s on court</w:t>
      </w:r>
    </w:p>
    <w:p w14:paraId="01D653C7" w14:textId="77777777" w:rsidR="00C15B33" w:rsidRDefault="00C15B33" w:rsidP="00C15B33">
      <w:pPr>
        <w:spacing w:after="0"/>
        <w:rPr>
          <w:rFonts w:eastAsia="Times New Roman" w:cs="Calibri"/>
        </w:rPr>
      </w:pPr>
    </w:p>
    <w:p w14:paraId="359D4B85" w14:textId="1C504FB7" w:rsidR="00311F9D" w:rsidRDefault="00311F9D" w:rsidP="00C15B33">
      <w:pPr>
        <w:spacing w:after="0"/>
        <w:rPr>
          <w:rFonts w:eastAsia="Times New Roman" w:cs="Calibri"/>
        </w:rPr>
      </w:pPr>
      <w:r>
        <w:rPr>
          <w:rFonts w:eastAsia="Times New Roman" w:cs="Calibri"/>
        </w:rPr>
        <w:t>Form A:</w:t>
      </w:r>
      <w:r>
        <w:rPr>
          <w:rFonts w:eastAsia="Times New Roman" w:cs="Calibri"/>
        </w:rPr>
        <w:tab/>
      </w:r>
      <w:r w:rsidR="002C45AF">
        <w:rPr>
          <w:rFonts w:eastAsia="Times New Roman" w:cs="Calibri"/>
        </w:rPr>
        <w:t xml:space="preserve"> </w:t>
      </w:r>
      <w:r>
        <w:rPr>
          <w:rFonts w:eastAsia="Times New Roman" w:cs="Calibri"/>
        </w:rPr>
        <w:t xml:space="preserve">Permission Form for use/storage of a </w:t>
      </w:r>
      <w:r w:rsidR="00BC7EC3">
        <w:rPr>
          <w:rFonts w:eastAsia="Times New Roman" w:cs="Calibri"/>
        </w:rPr>
        <w:t>mobility vehicle</w:t>
      </w:r>
      <w:r>
        <w:rPr>
          <w:rFonts w:eastAsia="Times New Roman" w:cs="Calibri"/>
        </w:rPr>
        <w:t xml:space="preserve"> on court</w:t>
      </w:r>
    </w:p>
    <w:p w14:paraId="178D76E4" w14:textId="77777777" w:rsidR="00C15B33" w:rsidRDefault="00C15B33" w:rsidP="007A298B">
      <w:pPr>
        <w:spacing w:after="0"/>
        <w:rPr>
          <w:rFonts w:eastAsia="Times New Roman" w:cs="Calibri"/>
        </w:rPr>
      </w:pPr>
    </w:p>
    <w:p w14:paraId="3CC08B61" w14:textId="335285D5" w:rsidR="00EB7E61" w:rsidRPr="00042127" w:rsidRDefault="00EB7E61" w:rsidP="007A298B">
      <w:pPr>
        <w:spacing w:after="0"/>
        <w:rPr>
          <w:rFonts w:eastAsia="Times New Roman" w:cs="Calibri"/>
        </w:rPr>
      </w:pPr>
      <w:r>
        <w:rPr>
          <w:rFonts w:eastAsia="Times New Roman" w:cs="Calibri"/>
        </w:rPr>
        <w:t xml:space="preserve">Housing 21 has produced a leaflet for residents providing information on the purchase, use and storage of </w:t>
      </w:r>
      <w:r w:rsidR="00BC7EC3">
        <w:rPr>
          <w:rFonts w:eastAsia="Times New Roman" w:cs="Calibri"/>
        </w:rPr>
        <w:t>mobility vehicle</w:t>
      </w:r>
      <w:r>
        <w:rPr>
          <w:rFonts w:eastAsia="Times New Roman" w:cs="Calibri"/>
        </w:rPr>
        <w:t>s.</w:t>
      </w:r>
    </w:p>
    <w:p w14:paraId="59005CEC" w14:textId="77777777" w:rsidR="008D14C3" w:rsidRDefault="008D14C3" w:rsidP="007A298B">
      <w:pPr>
        <w:spacing w:after="0"/>
        <w:rPr>
          <w:rFonts w:eastAsiaTheme="minorHAnsi" w:cs="Calibri"/>
        </w:rPr>
      </w:pPr>
    </w:p>
    <w:p w14:paraId="63A44B08" w14:textId="4C113CF1" w:rsidR="0083470D" w:rsidRDefault="0083470D" w:rsidP="007A298B">
      <w:pPr>
        <w:spacing w:after="0"/>
        <w:rPr>
          <w:rFonts w:eastAsiaTheme="minorHAnsi" w:cs="Calibri"/>
        </w:rPr>
      </w:pPr>
      <w:r>
        <w:rPr>
          <w:rFonts w:eastAsiaTheme="minorHAnsi" w:cs="Calibri"/>
        </w:rPr>
        <w:br w:type="page"/>
      </w:r>
    </w:p>
    <w:p w14:paraId="4594E584" w14:textId="5BCC7590" w:rsidR="00290CF1" w:rsidRPr="00290CF1" w:rsidRDefault="00290CF1" w:rsidP="007A298B">
      <w:pPr>
        <w:shd w:val="clear" w:color="auto" w:fill="FFD966" w:themeFill="accent4" w:themeFillTint="99"/>
        <w:spacing w:after="0"/>
        <w:rPr>
          <w:rFonts w:eastAsiaTheme="minorHAnsi" w:cs="Calibri"/>
          <w:b/>
          <w:bCs/>
        </w:rPr>
      </w:pPr>
      <w:r w:rsidRPr="00290CF1">
        <w:rPr>
          <w:rFonts w:eastAsiaTheme="minorHAnsi" w:cs="Calibri"/>
          <w:b/>
          <w:bCs/>
        </w:rPr>
        <w:lastRenderedPageBreak/>
        <w:t>How to Procedures</w:t>
      </w:r>
    </w:p>
    <w:p w14:paraId="67103776" w14:textId="77777777" w:rsidR="00290CF1" w:rsidRDefault="00290CF1" w:rsidP="007A298B">
      <w:pPr>
        <w:spacing w:after="0"/>
        <w:rPr>
          <w:rFonts w:eastAsiaTheme="minorHAnsi" w:cs="Calibri"/>
        </w:rPr>
      </w:pPr>
    </w:p>
    <w:p w14:paraId="7031E9F5" w14:textId="101410BB" w:rsidR="00290CF1" w:rsidRDefault="00290CF1" w:rsidP="007A298B">
      <w:pPr>
        <w:shd w:val="clear" w:color="auto" w:fill="FFE599" w:themeFill="accent4" w:themeFillTint="66"/>
        <w:spacing w:after="0"/>
        <w:rPr>
          <w:rFonts w:eastAsiaTheme="minorHAnsi" w:cs="Calibri"/>
          <w:b/>
          <w:bCs/>
        </w:rPr>
      </w:pPr>
      <w:r w:rsidRPr="00290CF1">
        <w:rPr>
          <w:rFonts w:eastAsiaTheme="minorHAnsi" w:cs="Calibri"/>
          <w:b/>
          <w:bCs/>
        </w:rPr>
        <w:t>A.</w:t>
      </w:r>
      <w:r w:rsidRPr="00290CF1">
        <w:rPr>
          <w:rFonts w:eastAsiaTheme="minorHAnsi" w:cs="Calibri"/>
          <w:b/>
          <w:bCs/>
        </w:rPr>
        <w:tab/>
        <w:t xml:space="preserve">What do residents have to do to keep a </w:t>
      </w:r>
      <w:r w:rsidR="00BC7EC3">
        <w:rPr>
          <w:rFonts w:eastAsiaTheme="minorHAnsi" w:cs="Calibri"/>
          <w:b/>
          <w:bCs/>
        </w:rPr>
        <w:t>mobility vehicle</w:t>
      </w:r>
      <w:r w:rsidRPr="00290CF1">
        <w:rPr>
          <w:rFonts w:eastAsiaTheme="minorHAnsi" w:cs="Calibri"/>
          <w:b/>
          <w:bCs/>
        </w:rPr>
        <w:t xml:space="preserve"> on court?</w:t>
      </w:r>
    </w:p>
    <w:p w14:paraId="6DDD8318" w14:textId="77777777" w:rsidR="0038700C" w:rsidRDefault="0038700C" w:rsidP="007A298B">
      <w:pPr>
        <w:spacing w:after="240"/>
        <w:rPr>
          <w:rFonts w:asciiTheme="minorHAnsi" w:hAnsiTheme="minorHAnsi" w:cs="Arial"/>
        </w:rPr>
      </w:pPr>
    </w:p>
    <w:p w14:paraId="73F474DB" w14:textId="20B57F33" w:rsidR="0014664B" w:rsidRPr="001C0159" w:rsidRDefault="0014664B" w:rsidP="007A298B">
      <w:pPr>
        <w:spacing w:after="240"/>
        <w:rPr>
          <w:rFonts w:asciiTheme="minorHAnsi" w:hAnsiTheme="minorHAnsi" w:cs="Arial"/>
        </w:rPr>
      </w:pPr>
      <w:r w:rsidRPr="001C0159">
        <w:rPr>
          <w:rFonts w:asciiTheme="minorHAnsi" w:hAnsiTheme="minorHAnsi" w:cs="Arial"/>
        </w:rPr>
        <w:t xml:space="preserve">Any resident who owns, or is thinking of buying, a </w:t>
      </w:r>
      <w:r w:rsidR="00BC7EC3">
        <w:rPr>
          <w:rFonts w:asciiTheme="minorHAnsi" w:hAnsiTheme="minorHAnsi" w:cs="Arial"/>
        </w:rPr>
        <w:t>mobility vehicle</w:t>
      </w:r>
      <w:r w:rsidRPr="001C0159">
        <w:rPr>
          <w:rFonts w:asciiTheme="minorHAnsi" w:hAnsiTheme="minorHAnsi" w:cs="Arial"/>
        </w:rPr>
        <w:t xml:space="preserve"> must:</w:t>
      </w:r>
    </w:p>
    <w:p w14:paraId="0433F8E9" w14:textId="57E488FF" w:rsidR="0014664B" w:rsidRPr="001C0159" w:rsidRDefault="0014664B" w:rsidP="007A298B">
      <w:pPr>
        <w:pStyle w:val="ListParagraph"/>
        <w:numPr>
          <w:ilvl w:val="0"/>
          <w:numId w:val="7"/>
        </w:numPr>
        <w:spacing w:after="240"/>
        <w:ind w:hanging="720"/>
        <w:rPr>
          <w:rFonts w:asciiTheme="minorHAnsi" w:hAnsiTheme="minorHAnsi" w:cs="Arial"/>
        </w:rPr>
      </w:pPr>
      <w:r w:rsidRPr="001C0159">
        <w:rPr>
          <w:rFonts w:asciiTheme="minorHAnsi" w:hAnsiTheme="minorHAnsi" w:cs="Arial"/>
        </w:rPr>
        <w:t xml:space="preserve">Advise the </w:t>
      </w:r>
      <w:r w:rsidR="00E04650">
        <w:rPr>
          <w:rFonts w:asciiTheme="minorHAnsi" w:hAnsiTheme="minorHAnsi" w:cs="Arial"/>
        </w:rPr>
        <w:t>local housing/</w:t>
      </w:r>
      <w:r w:rsidRPr="001C0159">
        <w:rPr>
          <w:rFonts w:asciiTheme="minorHAnsi" w:hAnsiTheme="minorHAnsi" w:cs="Arial"/>
        </w:rPr>
        <w:t>extra care manager to ensure we can provide information and advice and, where necessary, carry out a risk assessment.</w:t>
      </w:r>
    </w:p>
    <w:p w14:paraId="58E0C627" w14:textId="0A2A615D" w:rsidR="0014664B" w:rsidRPr="001C0159" w:rsidRDefault="004348A3" w:rsidP="007A298B">
      <w:pPr>
        <w:pStyle w:val="ListParagraph"/>
        <w:numPr>
          <w:ilvl w:val="0"/>
          <w:numId w:val="7"/>
        </w:numPr>
        <w:spacing w:after="240"/>
        <w:ind w:hanging="720"/>
        <w:rPr>
          <w:rFonts w:asciiTheme="minorHAnsi" w:hAnsiTheme="minorHAnsi" w:cs="Arial"/>
        </w:rPr>
      </w:pPr>
      <w:r>
        <w:rPr>
          <w:rFonts w:asciiTheme="minorHAnsi" w:hAnsiTheme="minorHAnsi" w:cs="Arial"/>
        </w:rPr>
        <w:t>Complete</w:t>
      </w:r>
      <w:r w:rsidR="00B16A50">
        <w:rPr>
          <w:rFonts w:asciiTheme="minorHAnsi" w:hAnsiTheme="minorHAnsi" w:cs="Arial"/>
        </w:rPr>
        <w:t xml:space="preserve"> and sign</w:t>
      </w:r>
      <w:r>
        <w:rPr>
          <w:rFonts w:asciiTheme="minorHAnsi" w:hAnsiTheme="minorHAnsi" w:cs="Arial"/>
        </w:rPr>
        <w:t xml:space="preserve"> the Permission Form for use/storage of a </w:t>
      </w:r>
      <w:r w:rsidR="00BC7EC3">
        <w:rPr>
          <w:rFonts w:asciiTheme="minorHAnsi" w:hAnsiTheme="minorHAnsi" w:cs="Arial"/>
        </w:rPr>
        <w:t>mobility vehicle</w:t>
      </w:r>
      <w:r>
        <w:rPr>
          <w:rFonts w:asciiTheme="minorHAnsi" w:hAnsiTheme="minorHAnsi" w:cs="Arial"/>
        </w:rPr>
        <w:t xml:space="preserve"> on court</w:t>
      </w:r>
      <w:r w:rsidR="00B16A50">
        <w:rPr>
          <w:rFonts w:asciiTheme="minorHAnsi" w:hAnsiTheme="minorHAnsi" w:cs="Arial"/>
        </w:rPr>
        <w:t xml:space="preserve">, confirming their agreement to the conditions </w:t>
      </w:r>
      <w:r w:rsidR="0014664B" w:rsidRPr="001C0159">
        <w:rPr>
          <w:rFonts w:asciiTheme="minorHAnsi" w:hAnsiTheme="minorHAnsi" w:cs="Arial"/>
        </w:rPr>
        <w:t>for owning and storing scooters</w:t>
      </w:r>
      <w:r w:rsidR="00B07C7B">
        <w:rPr>
          <w:rFonts w:asciiTheme="minorHAnsi" w:hAnsiTheme="minorHAnsi" w:cs="Arial"/>
        </w:rPr>
        <w:t>.</w:t>
      </w:r>
    </w:p>
    <w:p w14:paraId="1664809A" w14:textId="5F7C5802" w:rsidR="00924C00" w:rsidRPr="00903145" w:rsidRDefault="00DB49E5" w:rsidP="00781ABF">
      <w:pPr>
        <w:pStyle w:val="ListParagraph"/>
        <w:numPr>
          <w:ilvl w:val="0"/>
          <w:numId w:val="7"/>
        </w:numPr>
        <w:spacing w:after="240"/>
        <w:ind w:hanging="720"/>
        <w:rPr>
          <w:rFonts w:asciiTheme="minorHAnsi" w:hAnsiTheme="minorHAnsi" w:cs="Arial"/>
        </w:rPr>
      </w:pPr>
      <w:r w:rsidRPr="00903145">
        <w:rPr>
          <w:rFonts w:asciiTheme="minorHAnsi" w:hAnsiTheme="minorHAnsi" w:cs="Arial"/>
        </w:rPr>
        <w:t xml:space="preserve">While insurance is not a legal requirement </w:t>
      </w:r>
      <w:r w:rsidR="0014664B" w:rsidRPr="00903145">
        <w:rPr>
          <w:rFonts w:asciiTheme="minorHAnsi" w:hAnsiTheme="minorHAnsi" w:cs="Arial"/>
        </w:rPr>
        <w:t>H</w:t>
      </w:r>
      <w:r w:rsidR="007E2544" w:rsidRPr="00903145">
        <w:rPr>
          <w:rFonts w:asciiTheme="minorHAnsi" w:hAnsiTheme="minorHAnsi" w:cs="Arial"/>
        </w:rPr>
        <w:t xml:space="preserve">ousing </w:t>
      </w:r>
      <w:r w:rsidR="0014664B" w:rsidRPr="00903145">
        <w:rPr>
          <w:rFonts w:asciiTheme="minorHAnsi" w:hAnsiTheme="minorHAnsi" w:cs="Arial"/>
        </w:rPr>
        <w:t xml:space="preserve">21 </w:t>
      </w:r>
      <w:r w:rsidR="00E04650" w:rsidRPr="00903145">
        <w:rPr>
          <w:rFonts w:asciiTheme="minorHAnsi" w:hAnsiTheme="minorHAnsi" w:cs="Arial"/>
        </w:rPr>
        <w:t>require</w:t>
      </w:r>
      <w:r w:rsidR="009A58CE" w:rsidRPr="00903145">
        <w:rPr>
          <w:rFonts w:asciiTheme="minorHAnsi" w:hAnsiTheme="minorHAnsi" w:cs="Arial"/>
        </w:rPr>
        <w:t>s</w:t>
      </w:r>
      <w:r w:rsidR="0014664B" w:rsidRPr="00903145">
        <w:rPr>
          <w:rFonts w:asciiTheme="minorHAnsi" w:hAnsiTheme="minorHAnsi" w:cs="Arial"/>
        </w:rPr>
        <w:t xml:space="preserve"> </w:t>
      </w:r>
      <w:r w:rsidR="00FE0FB8">
        <w:rPr>
          <w:rFonts w:asciiTheme="minorHAnsi" w:hAnsiTheme="minorHAnsi" w:cs="Arial"/>
        </w:rPr>
        <w:t>residents</w:t>
      </w:r>
      <w:r w:rsidR="0014664B" w:rsidRPr="00903145">
        <w:rPr>
          <w:rFonts w:asciiTheme="minorHAnsi" w:hAnsiTheme="minorHAnsi" w:cs="Arial"/>
        </w:rPr>
        <w:t xml:space="preserve"> to </w:t>
      </w:r>
      <w:r w:rsidR="00AF2F6D" w:rsidRPr="00903145">
        <w:rPr>
          <w:rFonts w:asciiTheme="minorHAnsi" w:hAnsiTheme="minorHAnsi" w:cs="Arial"/>
        </w:rPr>
        <w:t>take-out third-party</w:t>
      </w:r>
      <w:r w:rsidR="009438CE" w:rsidRPr="00903145">
        <w:rPr>
          <w:rFonts w:asciiTheme="minorHAnsi" w:hAnsiTheme="minorHAnsi" w:cs="Arial"/>
        </w:rPr>
        <w:t xml:space="preserve"> liability</w:t>
      </w:r>
      <w:r w:rsidR="0014664B" w:rsidRPr="00903145">
        <w:rPr>
          <w:rFonts w:asciiTheme="minorHAnsi" w:hAnsiTheme="minorHAnsi" w:cs="Arial"/>
        </w:rPr>
        <w:t xml:space="preserve"> insurance as </w:t>
      </w:r>
      <w:r w:rsidR="00942334" w:rsidRPr="00903145">
        <w:rPr>
          <w:rFonts w:asciiTheme="minorHAnsi" w:hAnsiTheme="minorHAnsi" w:cs="Arial"/>
        </w:rPr>
        <w:t>a minimum. Housing 21</w:t>
      </w:r>
      <w:r w:rsidR="0014664B" w:rsidRPr="00903145">
        <w:rPr>
          <w:rFonts w:asciiTheme="minorHAnsi" w:hAnsiTheme="minorHAnsi" w:cs="Arial"/>
        </w:rPr>
        <w:t xml:space="preserve"> will recharge for any damage caused to the properties we own or manage.  </w:t>
      </w:r>
    </w:p>
    <w:p w14:paraId="421EB942" w14:textId="28A65D01" w:rsidR="0014664B" w:rsidRPr="00E51AD5" w:rsidRDefault="0014664B" w:rsidP="00781ABF">
      <w:pPr>
        <w:pStyle w:val="ListParagraph"/>
        <w:numPr>
          <w:ilvl w:val="0"/>
          <w:numId w:val="7"/>
        </w:numPr>
        <w:spacing w:after="240"/>
        <w:ind w:hanging="720"/>
        <w:rPr>
          <w:rFonts w:asciiTheme="minorHAnsi" w:hAnsiTheme="minorHAnsi" w:cs="Arial"/>
        </w:rPr>
      </w:pPr>
      <w:r w:rsidRPr="00E51AD5">
        <w:rPr>
          <w:rFonts w:asciiTheme="minorHAnsi" w:hAnsiTheme="minorHAnsi" w:cs="Arial"/>
        </w:rPr>
        <w:t xml:space="preserve">If anyone using a </w:t>
      </w:r>
      <w:r w:rsidR="00BC7EC3" w:rsidRPr="00E51AD5">
        <w:rPr>
          <w:rFonts w:asciiTheme="minorHAnsi" w:hAnsiTheme="minorHAnsi" w:cs="Arial"/>
        </w:rPr>
        <w:t>mobility vehicle</w:t>
      </w:r>
      <w:r w:rsidRPr="00E51AD5">
        <w:rPr>
          <w:rFonts w:asciiTheme="minorHAnsi" w:hAnsiTheme="minorHAnsi" w:cs="Arial"/>
        </w:rPr>
        <w:t xml:space="preserve"> injures another person, they may be liable to personal injury claims. </w:t>
      </w:r>
    </w:p>
    <w:p w14:paraId="77E87D2E" w14:textId="53A749FF" w:rsidR="00924C00" w:rsidRPr="00E51AD5" w:rsidRDefault="00345D4E" w:rsidP="009438CE">
      <w:pPr>
        <w:pStyle w:val="ListParagraph"/>
        <w:numPr>
          <w:ilvl w:val="0"/>
          <w:numId w:val="7"/>
        </w:numPr>
        <w:spacing w:after="240"/>
        <w:ind w:hanging="720"/>
        <w:rPr>
          <w:rFonts w:asciiTheme="minorHAnsi" w:hAnsiTheme="minorHAnsi" w:cs="Arial"/>
        </w:rPr>
      </w:pPr>
      <w:r w:rsidRPr="00E51AD5">
        <w:rPr>
          <w:rFonts w:asciiTheme="minorHAnsi" w:hAnsiTheme="minorHAnsi" w:cs="Arial"/>
        </w:rPr>
        <w:t xml:space="preserve">Upon reasonable request by an employee of Housing 21, </w:t>
      </w:r>
      <w:r w:rsidR="00FE0FB8">
        <w:rPr>
          <w:rFonts w:asciiTheme="minorHAnsi" w:hAnsiTheme="minorHAnsi" w:cs="Arial"/>
        </w:rPr>
        <w:t>residents</w:t>
      </w:r>
      <w:r w:rsidR="00373EED" w:rsidRPr="00E51AD5">
        <w:rPr>
          <w:rFonts w:asciiTheme="minorHAnsi" w:hAnsiTheme="minorHAnsi" w:cs="Arial"/>
        </w:rPr>
        <w:t xml:space="preserve"> should provide</w:t>
      </w:r>
      <w:r w:rsidRPr="00E51AD5">
        <w:rPr>
          <w:rFonts w:asciiTheme="minorHAnsi" w:hAnsiTheme="minorHAnsi" w:cs="Arial"/>
        </w:rPr>
        <w:t xml:space="preserve"> a copy of their liability insurance cover.</w:t>
      </w:r>
    </w:p>
    <w:p w14:paraId="2FB5F2D1" w14:textId="77777777" w:rsidR="0014664B" w:rsidRPr="001C0159" w:rsidRDefault="0014664B" w:rsidP="007A298B">
      <w:pPr>
        <w:pStyle w:val="ListParagraph"/>
        <w:numPr>
          <w:ilvl w:val="0"/>
          <w:numId w:val="7"/>
        </w:numPr>
        <w:spacing w:after="240"/>
        <w:ind w:hanging="720"/>
        <w:rPr>
          <w:rFonts w:asciiTheme="minorHAnsi" w:hAnsiTheme="minorHAnsi" w:cs="Arial"/>
        </w:rPr>
      </w:pPr>
      <w:r w:rsidRPr="001C0159">
        <w:rPr>
          <w:rFonts w:asciiTheme="minorHAnsi" w:hAnsiTheme="minorHAnsi" w:cs="Arial"/>
        </w:rPr>
        <w:t>Scooters and chargers must be maintained in line with the manufacturers’ guidance.</w:t>
      </w:r>
    </w:p>
    <w:p w14:paraId="72310D98" w14:textId="77777777" w:rsidR="0014664B" w:rsidRDefault="0014664B" w:rsidP="007A298B">
      <w:pPr>
        <w:pStyle w:val="ListParagraph"/>
        <w:numPr>
          <w:ilvl w:val="0"/>
          <w:numId w:val="7"/>
        </w:numPr>
        <w:spacing w:after="240"/>
        <w:ind w:hanging="720"/>
        <w:rPr>
          <w:rFonts w:asciiTheme="minorHAnsi" w:hAnsiTheme="minorHAnsi" w:cs="Arial"/>
        </w:rPr>
      </w:pPr>
      <w:r w:rsidRPr="001C0159">
        <w:rPr>
          <w:rFonts w:asciiTheme="minorHAnsi" w:hAnsiTheme="minorHAnsi" w:cs="Arial"/>
        </w:rPr>
        <w:t>Where applicable, residents must comply with the outcome of a risk assessment (court or fire) and failure to do so will be considered a breach of the consent agreement.</w:t>
      </w:r>
    </w:p>
    <w:p w14:paraId="7116D909" w14:textId="586DB2D4" w:rsidR="007634E8" w:rsidRDefault="007634E8" w:rsidP="007A298B">
      <w:pPr>
        <w:spacing w:after="240"/>
        <w:rPr>
          <w:rFonts w:asciiTheme="minorHAnsi" w:hAnsiTheme="minorHAnsi" w:cs="Arial"/>
        </w:rPr>
      </w:pPr>
      <w:r w:rsidRPr="001C0159">
        <w:rPr>
          <w:rFonts w:asciiTheme="minorHAnsi" w:hAnsiTheme="minorHAnsi" w:cs="Arial"/>
        </w:rPr>
        <w:t>H</w:t>
      </w:r>
      <w:r w:rsidR="00C55B97">
        <w:rPr>
          <w:rFonts w:asciiTheme="minorHAnsi" w:hAnsiTheme="minorHAnsi" w:cs="Arial"/>
        </w:rPr>
        <w:t xml:space="preserve">ousing </w:t>
      </w:r>
      <w:r w:rsidRPr="001C0159">
        <w:rPr>
          <w:rFonts w:asciiTheme="minorHAnsi" w:hAnsiTheme="minorHAnsi" w:cs="Arial"/>
        </w:rPr>
        <w:t xml:space="preserve">21 has the right to refuse permission to store scooters in communal areas if a risk assessment shows there is a health and safety and/or fire risk that could put others in danger. We will strive to be as flexible as possible and where there is a risk associated with </w:t>
      </w:r>
      <w:r w:rsidR="003755F7" w:rsidRPr="001C0159">
        <w:rPr>
          <w:rFonts w:asciiTheme="minorHAnsi" w:hAnsiTheme="minorHAnsi" w:cs="Arial"/>
        </w:rPr>
        <w:t>storage,</w:t>
      </w:r>
      <w:r w:rsidRPr="001C0159">
        <w:rPr>
          <w:rFonts w:asciiTheme="minorHAnsi" w:hAnsiTheme="minorHAnsi" w:cs="Arial"/>
        </w:rPr>
        <w:t xml:space="preserve"> we will work with the resident to try to find a solution.</w:t>
      </w:r>
    </w:p>
    <w:p w14:paraId="600C9405" w14:textId="77777777" w:rsidR="00FE0566" w:rsidRDefault="00FE0566" w:rsidP="007A298B">
      <w:pPr>
        <w:spacing w:after="240"/>
        <w:rPr>
          <w:rFonts w:asciiTheme="minorHAnsi" w:hAnsiTheme="minorHAnsi" w:cs="Arial"/>
        </w:rPr>
      </w:pPr>
    </w:p>
    <w:p w14:paraId="25FD092C" w14:textId="34C4A24B" w:rsidR="00E3007F" w:rsidRDefault="00E3007F" w:rsidP="007A298B">
      <w:pPr>
        <w:shd w:val="clear" w:color="auto" w:fill="FFE599" w:themeFill="accent4" w:themeFillTint="66"/>
        <w:spacing w:after="0"/>
        <w:rPr>
          <w:rFonts w:eastAsiaTheme="minorHAnsi" w:cs="Calibri"/>
          <w:b/>
          <w:bCs/>
        </w:rPr>
      </w:pPr>
      <w:r>
        <w:rPr>
          <w:rFonts w:eastAsiaTheme="minorHAnsi" w:cs="Calibri"/>
          <w:b/>
          <w:bCs/>
        </w:rPr>
        <w:t>B.</w:t>
      </w:r>
      <w:r>
        <w:rPr>
          <w:rFonts w:eastAsiaTheme="minorHAnsi" w:cs="Calibri"/>
          <w:b/>
          <w:bCs/>
        </w:rPr>
        <w:tab/>
        <w:t xml:space="preserve">Where can </w:t>
      </w:r>
      <w:r w:rsidR="00BC7EC3">
        <w:rPr>
          <w:rFonts w:eastAsiaTheme="minorHAnsi" w:cs="Calibri"/>
          <w:b/>
          <w:bCs/>
        </w:rPr>
        <w:t>mobility vehicle</w:t>
      </w:r>
      <w:r>
        <w:rPr>
          <w:rFonts w:eastAsiaTheme="minorHAnsi" w:cs="Calibri"/>
          <w:b/>
          <w:bCs/>
        </w:rPr>
        <w:t>s be stored?</w:t>
      </w:r>
    </w:p>
    <w:p w14:paraId="2C6DC42F" w14:textId="77777777" w:rsidR="00E3007F" w:rsidRDefault="00E3007F" w:rsidP="007A298B">
      <w:pPr>
        <w:shd w:val="clear" w:color="auto" w:fill="FFFFFF" w:themeFill="background1"/>
        <w:spacing w:after="0"/>
        <w:rPr>
          <w:rFonts w:eastAsiaTheme="minorHAnsi" w:cs="Calibri"/>
          <w:b/>
          <w:bCs/>
        </w:rPr>
      </w:pPr>
    </w:p>
    <w:p w14:paraId="1F9DEF71" w14:textId="06C95AAC" w:rsidR="00241D46" w:rsidRPr="001C0159" w:rsidRDefault="00733108" w:rsidP="007A298B">
      <w:pPr>
        <w:rPr>
          <w:rFonts w:asciiTheme="minorHAnsi" w:hAnsiTheme="minorHAnsi" w:cs="Arial"/>
          <w:b/>
        </w:rPr>
      </w:pPr>
      <w:r>
        <w:rPr>
          <w:rFonts w:asciiTheme="minorHAnsi" w:hAnsiTheme="minorHAnsi" w:cs="Arial"/>
          <w:b/>
        </w:rPr>
        <w:t>B.1</w:t>
      </w:r>
      <w:r>
        <w:rPr>
          <w:rFonts w:asciiTheme="minorHAnsi" w:hAnsiTheme="minorHAnsi" w:cs="Arial"/>
          <w:b/>
        </w:rPr>
        <w:tab/>
      </w:r>
      <w:r w:rsidR="00241D46" w:rsidRPr="001C0159">
        <w:rPr>
          <w:rFonts w:asciiTheme="minorHAnsi" w:hAnsiTheme="minorHAnsi" w:cs="Arial"/>
          <w:b/>
        </w:rPr>
        <w:t>Storage within the home</w:t>
      </w:r>
    </w:p>
    <w:p w14:paraId="08F78172" w14:textId="205F7504" w:rsidR="00241D46" w:rsidRPr="001C0159" w:rsidRDefault="00241D46" w:rsidP="007A298B">
      <w:pPr>
        <w:rPr>
          <w:rFonts w:asciiTheme="minorHAnsi" w:hAnsiTheme="minorHAnsi" w:cs="Arial"/>
        </w:rPr>
      </w:pPr>
      <w:r w:rsidRPr="001C0159">
        <w:rPr>
          <w:rFonts w:asciiTheme="minorHAnsi" w:hAnsiTheme="minorHAnsi" w:cs="Arial"/>
        </w:rPr>
        <w:t xml:space="preserve">Where it is possible, residents must store </w:t>
      </w:r>
      <w:r w:rsidR="00BC7EC3">
        <w:rPr>
          <w:rFonts w:asciiTheme="minorHAnsi" w:hAnsiTheme="minorHAnsi" w:cs="Arial"/>
        </w:rPr>
        <w:t>mobility vehicle</w:t>
      </w:r>
      <w:r w:rsidRPr="001C0159">
        <w:rPr>
          <w:rFonts w:asciiTheme="minorHAnsi" w:hAnsiTheme="minorHAnsi" w:cs="Arial"/>
        </w:rPr>
        <w:t>s in their own flats/homes. This option may be limited to those with smaller scooters and where the layout of the accommodation is suitable.</w:t>
      </w:r>
    </w:p>
    <w:p w14:paraId="1A2D9928" w14:textId="77777777" w:rsidR="00241D46" w:rsidRDefault="00241D46" w:rsidP="007A298B">
      <w:pPr>
        <w:rPr>
          <w:rFonts w:asciiTheme="minorHAnsi" w:hAnsiTheme="minorHAnsi" w:cs="Arial"/>
        </w:rPr>
      </w:pPr>
      <w:r w:rsidRPr="001C0159">
        <w:rPr>
          <w:rFonts w:asciiTheme="minorHAnsi" w:hAnsiTheme="minorHAnsi" w:cs="Arial"/>
        </w:rPr>
        <w:t>Residents who store scooters in their flats/homes must ensure the scooter does not block fire exits.  Scooters and chargers must also be maintained in line with the manufacturer’s guidance.</w:t>
      </w:r>
    </w:p>
    <w:p w14:paraId="26F2530B" w14:textId="77777777" w:rsidR="00B65E2D" w:rsidRDefault="00B65E2D" w:rsidP="007A298B">
      <w:pPr>
        <w:rPr>
          <w:rFonts w:asciiTheme="minorHAnsi" w:hAnsiTheme="minorHAnsi" w:cs="Arial"/>
        </w:rPr>
      </w:pPr>
    </w:p>
    <w:p w14:paraId="6259437C" w14:textId="618AD4E6" w:rsidR="00241D46" w:rsidRPr="001C0159" w:rsidRDefault="00733108" w:rsidP="007A298B">
      <w:pPr>
        <w:rPr>
          <w:rFonts w:asciiTheme="minorHAnsi" w:hAnsiTheme="minorHAnsi" w:cs="Arial"/>
          <w:b/>
        </w:rPr>
      </w:pPr>
      <w:r>
        <w:rPr>
          <w:rFonts w:asciiTheme="minorHAnsi" w:hAnsiTheme="minorHAnsi" w:cs="Arial"/>
          <w:b/>
        </w:rPr>
        <w:t>B.2</w:t>
      </w:r>
      <w:r>
        <w:rPr>
          <w:rFonts w:asciiTheme="minorHAnsi" w:hAnsiTheme="minorHAnsi" w:cs="Arial"/>
          <w:b/>
        </w:rPr>
        <w:tab/>
      </w:r>
      <w:r w:rsidR="00241D46" w:rsidRPr="001C0159">
        <w:rPr>
          <w:rFonts w:asciiTheme="minorHAnsi" w:hAnsiTheme="minorHAnsi" w:cs="Arial"/>
          <w:b/>
        </w:rPr>
        <w:t xml:space="preserve">Storage in </w:t>
      </w:r>
      <w:r w:rsidR="00BC7EC3">
        <w:rPr>
          <w:rFonts w:asciiTheme="minorHAnsi" w:hAnsiTheme="minorHAnsi" w:cs="Arial"/>
          <w:b/>
        </w:rPr>
        <w:t>mobility vehicle</w:t>
      </w:r>
      <w:r w:rsidR="00241D46" w:rsidRPr="001C0159">
        <w:rPr>
          <w:rFonts w:asciiTheme="minorHAnsi" w:hAnsiTheme="minorHAnsi" w:cs="Arial"/>
          <w:b/>
        </w:rPr>
        <w:t xml:space="preserve"> ‘buggy’ stores/designated communal areas</w:t>
      </w:r>
    </w:p>
    <w:p w14:paraId="157ECF7B" w14:textId="4696BEA9" w:rsidR="00241D46" w:rsidRPr="001C0159" w:rsidRDefault="00241D46" w:rsidP="007A298B">
      <w:pPr>
        <w:rPr>
          <w:rFonts w:asciiTheme="minorHAnsi" w:hAnsiTheme="minorHAnsi" w:cs="Arial"/>
        </w:rPr>
      </w:pPr>
      <w:r w:rsidRPr="001C0159">
        <w:rPr>
          <w:rFonts w:asciiTheme="minorHAnsi" w:hAnsiTheme="minorHAnsi" w:cs="Arial"/>
        </w:rPr>
        <w:t>Where H</w:t>
      </w:r>
      <w:r w:rsidR="00C55B97">
        <w:rPr>
          <w:rFonts w:asciiTheme="minorHAnsi" w:hAnsiTheme="minorHAnsi" w:cs="Arial"/>
        </w:rPr>
        <w:t xml:space="preserve">ousing </w:t>
      </w:r>
      <w:r w:rsidRPr="001C0159">
        <w:rPr>
          <w:rFonts w:asciiTheme="minorHAnsi" w:hAnsiTheme="minorHAnsi" w:cs="Arial"/>
        </w:rPr>
        <w:t xml:space="preserve">21 has been able to provide </w:t>
      </w:r>
      <w:r w:rsidR="00733108" w:rsidRPr="001C0159">
        <w:rPr>
          <w:rFonts w:asciiTheme="minorHAnsi" w:hAnsiTheme="minorHAnsi" w:cs="Arial"/>
        </w:rPr>
        <w:t>purpose-built</w:t>
      </w:r>
      <w:r w:rsidRPr="001C0159">
        <w:rPr>
          <w:rFonts w:asciiTheme="minorHAnsi" w:hAnsiTheme="minorHAnsi" w:cs="Arial"/>
        </w:rPr>
        <w:t xml:space="preserve"> storage for </w:t>
      </w:r>
      <w:r w:rsidR="00BC7EC3">
        <w:rPr>
          <w:rFonts w:asciiTheme="minorHAnsi" w:hAnsiTheme="minorHAnsi" w:cs="Arial"/>
        </w:rPr>
        <w:t>mobility vehicle</w:t>
      </w:r>
      <w:r w:rsidRPr="001C0159">
        <w:rPr>
          <w:rFonts w:asciiTheme="minorHAnsi" w:hAnsiTheme="minorHAnsi" w:cs="Arial"/>
        </w:rPr>
        <w:t>s, we will manage and allocate provision as follows:</w:t>
      </w:r>
    </w:p>
    <w:p w14:paraId="3CEA5695" w14:textId="18AB5459" w:rsidR="00241D46" w:rsidRPr="001C0159" w:rsidRDefault="00241D46" w:rsidP="007A298B">
      <w:pPr>
        <w:pStyle w:val="ListParagraph"/>
        <w:numPr>
          <w:ilvl w:val="0"/>
          <w:numId w:val="8"/>
        </w:numPr>
        <w:ind w:hanging="720"/>
        <w:rPr>
          <w:rFonts w:asciiTheme="minorHAnsi" w:hAnsiTheme="minorHAnsi" w:cs="Arial"/>
        </w:rPr>
      </w:pPr>
      <w:r w:rsidRPr="001C0159">
        <w:rPr>
          <w:rFonts w:asciiTheme="minorHAnsi" w:hAnsiTheme="minorHAnsi" w:cs="Arial"/>
        </w:rPr>
        <w:t xml:space="preserve">Each court will have its own waiting list that details the issues particular to that court.  For example, some storage facilities are not suitable for the larger models of scooters and buggies now available </w:t>
      </w:r>
      <w:r w:rsidRPr="001C0159">
        <w:rPr>
          <w:rFonts w:asciiTheme="minorHAnsi" w:hAnsiTheme="minorHAnsi" w:cs="Arial"/>
        </w:rPr>
        <w:lastRenderedPageBreak/>
        <w:t xml:space="preserve">on the market.  Residents should take this into account when considering purchasing a </w:t>
      </w:r>
      <w:r w:rsidR="00BC7EC3">
        <w:rPr>
          <w:rFonts w:asciiTheme="minorHAnsi" w:hAnsiTheme="minorHAnsi" w:cs="Arial"/>
        </w:rPr>
        <w:t>mobility vehicle</w:t>
      </w:r>
      <w:r w:rsidRPr="001C0159">
        <w:rPr>
          <w:rFonts w:asciiTheme="minorHAnsi" w:hAnsiTheme="minorHAnsi" w:cs="Arial"/>
        </w:rPr>
        <w:t>.</w:t>
      </w:r>
    </w:p>
    <w:p w14:paraId="0508751D" w14:textId="77777777" w:rsidR="00241D46" w:rsidRPr="001C0159" w:rsidRDefault="00241D46" w:rsidP="007A298B">
      <w:pPr>
        <w:pStyle w:val="ListParagraph"/>
        <w:numPr>
          <w:ilvl w:val="0"/>
          <w:numId w:val="8"/>
        </w:numPr>
        <w:ind w:hanging="720"/>
        <w:rPr>
          <w:rFonts w:asciiTheme="minorHAnsi" w:hAnsiTheme="minorHAnsi" w:cs="Arial"/>
        </w:rPr>
      </w:pPr>
      <w:r w:rsidRPr="001C0159">
        <w:rPr>
          <w:rFonts w:asciiTheme="minorHAnsi" w:hAnsiTheme="minorHAnsi" w:cs="Arial"/>
        </w:rPr>
        <w:t>Residents can request that they be added to the waiting list.</w:t>
      </w:r>
    </w:p>
    <w:p w14:paraId="74BDE140" w14:textId="77777777" w:rsidR="00241D46" w:rsidRPr="001C0159" w:rsidRDefault="00241D46" w:rsidP="007A298B">
      <w:pPr>
        <w:pStyle w:val="ListParagraph"/>
        <w:numPr>
          <w:ilvl w:val="0"/>
          <w:numId w:val="8"/>
        </w:numPr>
        <w:ind w:hanging="720"/>
        <w:rPr>
          <w:rFonts w:asciiTheme="minorHAnsi" w:hAnsiTheme="minorHAnsi" w:cs="Arial"/>
        </w:rPr>
      </w:pPr>
      <w:r w:rsidRPr="001C0159">
        <w:rPr>
          <w:rFonts w:asciiTheme="minorHAnsi" w:hAnsiTheme="minorHAnsi" w:cs="Arial"/>
        </w:rPr>
        <w:t xml:space="preserve">Residents may only store scooters in </w:t>
      </w:r>
      <w:r>
        <w:rPr>
          <w:rFonts w:asciiTheme="minorHAnsi" w:hAnsiTheme="minorHAnsi" w:cs="Arial"/>
        </w:rPr>
        <w:t xml:space="preserve">designated </w:t>
      </w:r>
      <w:r w:rsidRPr="001C0159">
        <w:rPr>
          <w:rFonts w:asciiTheme="minorHAnsi" w:hAnsiTheme="minorHAnsi" w:cs="Arial"/>
        </w:rPr>
        <w:t xml:space="preserve">communal areas </w:t>
      </w:r>
      <w:r>
        <w:rPr>
          <w:rFonts w:asciiTheme="minorHAnsi" w:hAnsiTheme="minorHAnsi" w:cs="Arial"/>
        </w:rPr>
        <w:t xml:space="preserve">(outside of buggy stores) </w:t>
      </w:r>
      <w:r w:rsidRPr="001C0159">
        <w:rPr>
          <w:rFonts w:asciiTheme="minorHAnsi" w:hAnsiTheme="minorHAnsi" w:cs="Arial"/>
        </w:rPr>
        <w:t>following a risk assessm</w:t>
      </w:r>
      <w:r>
        <w:rPr>
          <w:rFonts w:asciiTheme="minorHAnsi" w:hAnsiTheme="minorHAnsi" w:cs="Arial"/>
        </w:rPr>
        <w:t>ent (court and fire).  Once these are</w:t>
      </w:r>
      <w:r w:rsidRPr="001C0159">
        <w:rPr>
          <w:rFonts w:asciiTheme="minorHAnsi" w:hAnsiTheme="minorHAnsi" w:cs="Arial"/>
        </w:rPr>
        <w:t xml:space="preserve"> completed, residents will be given written permission showing exactly where they can store the scooter.</w:t>
      </w:r>
    </w:p>
    <w:p w14:paraId="3377502F" w14:textId="60536F69" w:rsidR="00241D46" w:rsidRPr="001C0159" w:rsidRDefault="00241D46" w:rsidP="11067ABC">
      <w:pPr>
        <w:pStyle w:val="ListParagraph"/>
        <w:numPr>
          <w:ilvl w:val="0"/>
          <w:numId w:val="8"/>
        </w:numPr>
        <w:ind w:hanging="720"/>
        <w:rPr>
          <w:rFonts w:asciiTheme="minorHAnsi" w:hAnsiTheme="minorHAnsi" w:cs="Arial"/>
        </w:rPr>
      </w:pPr>
      <w:r w:rsidRPr="11067ABC">
        <w:rPr>
          <w:rFonts w:asciiTheme="minorHAnsi" w:hAnsiTheme="minorHAnsi" w:cs="Arial"/>
        </w:rPr>
        <w:t xml:space="preserve">Residents with access to </w:t>
      </w:r>
      <w:r w:rsidR="00BC7EC3" w:rsidRPr="11067ABC">
        <w:rPr>
          <w:rFonts w:asciiTheme="minorHAnsi" w:hAnsiTheme="minorHAnsi" w:cs="Arial"/>
        </w:rPr>
        <w:t>mobility vehicle</w:t>
      </w:r>
      <w:r w:rsidRPr="11067ABC">
        <w:rPr>
          <w:rFonts w:asciiTheme="minorHAnsi" w:hAnsiTheme="minorHAnsi" w:cs="Arial"/>
        </w:rPr>
        <w:t xml:space="preserve"> storage must use it for this purpose and failure to do so may result in the storage being offered to the next person on the waiting list.  Anyone who no longer needs storage must advise their </w:t>
      </w:r>
      <w:r w:rsidR="1F165F87" w:rsidRPr="11067ABC">
        <w:rPr>
          <w:rFonts w:asciiTheme="minorHAnsi" w:hAnsiTheme="minorHAnsi" w:cs="Arial"/>
        </w:rPr>
        <w:t>Housing</w:t>
      </w:r>
      <w:r w:rsidRPr="11067ABC">
        <w:rPr>
          <w:rFonts w:asciiTheme="minorHAnsi" w:hAnsiTheme="minorHAnsi" w:cs="Arial"/>
        </w:rPr>
        <w:t>/Extra Care Manager.</w:t>
      </w:r>
    </w:p>
    <w:p w14:paraId="034BDF57" w14:textId="0CA0A215" w:rsidR="00241D46" w:rsidRPr="001C0159" w:rsidRDefault="00241D46" w:rsidP="007A298B">
      <w:pPr>
        <w:pStyle w:val="ListParagraph"/>
        <w:numPr>
          <w:ilvl w:val="0"/>
          <w:numId w:val="8"/>
        </w:numPr>
        <w:ind w:hanging="720"/>
        <w:rPr>
          <w:rFonts w:asciiTheme="minorHAnsi" w:hAnsiTheme="minorHAnsi" w:cs="Arial"/>
        </w:rPr>
      </w:pPr>
      <w:r w:rsidRPr="001C0159">
        <w:rPr>
          <w:rFonts w:asciiTheme="minorHAnsi" w:hAnsiTheme="minorHAnsi" w:cs="Arial"/>
        </w:rPr>
        <w:t xml:space="preserve">Residents </w:t>
      </w:r>
      <w:r w:rsidR="00D940A5">
        <w:rPr>
          <w:rFonts w:asciiTheme="minorHAnsi" w:hAnsiTheme="minorHAnsi" w:cs="Arial"/>
        </w:rPr>
        <w:t xml:space="preserve">are responsible for </w:t>
      </w:r>
      <w:r w:rsidR="00C86C7C">
        <w:rPr>
          <w:rFonts w:asciiTheme="minorHAnsi" w:hAnsiTheme="minorHAnsi" w:cs="Arial"/>
        </w:rPr>
        <w:t>arranging</w:t>
      </w:r>
      <w:r w:rsidRPr="001C0159">
        <w:rPr>
          <w:rFonts w:asciiTheme="minorHAnsi" w:hAnsiTheme="minorHAnsi" w:cs="Arial"/>
        </w:rPr>
        <w:t xml:space="preserve"> an annual portable appliance test (PAT) </w:t>
      </w:r>
      <w:r w:rsidR="00C86C7C">
        <w:rPr>
          <w:rFonts w:asciiTheme="minorHAnsi" w:hAnsiTheme="minorHAnsi" w:cs="Arial"/>
        </w:rPr>
        <w:t>to be carried out</w:t>
      </w:r>
      <w:r w:rsidR="00DF3367">
        <w:rPr>
          <w:rFonts w:asciiTheme="minorHAnsi" w:hAnsiTheme="minorHAnsi" w:cs="Arial"/>
        </w:rPr>
        <w:t xml:space="preserve"> </w:t>
      </w:r>
      <w:r w:rsidRPr="001C0159">
        <w:rPr>
          <w:rFonts w:asciiTheme="minorHAnsi" w:hAnsiTheme="minorHAnsi" w:cs="Arial"/>
        </w:rPr>
        <w:t>on batteries and chargers and maintain the scooter in line with the manufacturer’s guidance.</w:t>
      </w:r>
    </w:p>
    <w:p w14:paraId="10C3ABEE" w14:textId="037586CE" w:rsidR="00241D46" w:rsidRPr="001C0159" w:rsidRDefault="00241D46" w:rsidP="007A298B">
      <w:pPr>
        <w:pStyle w:val="ListParagraph"/>
        <w:numPr>
          <w:ilvl w:val="0"/>
          <w:numId w:val="8"/>
        </w:numPr>
        <w:ind w:hanging="720"/>
        <w:rPr>
          <w:rFonts w:asciiTheme="minorHAnsi" w:hAnsiTheme="minorHAnsi" w:cs="Arial"/>
        </w:rPr>
      </w:pPr>
      <w:r w:rsidRPr="001C0159">
        <w:rPr>
          <w:rFonts w:asciiTheme="minorHAnsi" w:hAnsiTheme="minorHAnsi" w:cs="Arial"/>
        </w:rPr>
        <w:t>Scooters must never be stored in a way that blocks or restricts escape routes</w:t>
      </w:r>
      <w:r>
        <w:rPr>
          <w:rFonts w:asciiTheme="minorHAnsi" w:hAnsiTheme="minorHAnsi" w:cs="Arial"/>
        </w:rPr>
        <w:t xml:space="preserve"> (</w:t>
      </w:r>
      <w:r w:rsidR="003755F7">
        <w:rPr>
          <w:rFonts w:asciiTheme="minorHAnsi" w:hAnsiTheme="minorHAnsi" w:cs="Arial"/>
        </w:rPr>
        <w:t>i.e.,</w:t>
      </w:r>
      <w:r>
        <w:rPr>
          <w:rFonts w:asciiTheme="minorHAnsi" w:hAnsiTheme="minorHAnsi" w:cs="Arial"/>
        </w:rPr>
        <w:t xml:space="preserve"> communal corridors)</w:t>
      </w:r>
      <w:r w:rsidRPr="001C0159">
        <w:rPr>
          <w:rFonts w:asciiTheme="minorHAnsi" w:hAnsiTheme="minorHAnsi" w:cs="Arial"/>
        </w:rPr>
        <w:t>; the main entrance to communal blocks or the main door to their property.</w:t>
      </w:r>
    </w:p>
    <w:p w14:paraId="3DA77A18" w14:textId="0E44AFDD" w:rsidR="00241D46" w:rsidRPr="001C0159" w:rsidRDefault="00241D46" w:rsidP="007A298B">
      <w:pPr>
        <w:pStyle w:val="ListParagraph"/>
        <w:numPr>
          <w:ilvl w:val="0"/>
          <w:numId w:val="8"/>
        </w:numPr>
        <w:ind w:hanging="720"/>
        <w:rPr>
          <w:rFonts w:asciiTheme="minorHAnsi" w:hAnsiTheme="minorHAnsi" w:cs="Arial"/>
        </w:rPr>
      </w:pPr>
      <w:r w:rsidRPr="001C0159">
        <w:rPr>
          <w:rFonts w:asciiTheme="minorHAnsi" w:hAnsiTheme="minorHAnsi" w:cs="Arial"/>
        </w:rPr>
        <w:t xml:space="preserve">Power leads must never cause a trip hazard, be trailed across </w:t>
      </w:r>
      <w:r w:rsidR="00733108" w:rsidRPr="001C0159">
        <w:rPr>
          <w:rFonts w:asciiTheme="minorHAnsi" w:hAnsiTheme="minorHAnsi" w:cs="Arial"/>
        </w:rPr>
        <w:t>floors,</w:t>
      </w:r>
      <w:r w:rsidRPr="001C0159">
        <w:rPr>
          <w:rFonts w:asciiTheme="minorHAnsi" w:hAnsiTheme="minorHAnsi" w:cs="Arial"/>
        </w:rPr>
        <w:t xml:space="preserve"> or put through the letterbox of a property.</w:t>
      </w:r>
    </w:p>
    <w:p w14:paraId="5D03B0C6" w14:textId="77777777" w:rsidR="00241D46" w:rsidRDefault="00241D46" w:rsidP="007A298B">
      <w:pPr>
        <w:pStyle w:val="ListParagraph"/>
        <w:numPr>
          <w:ilvl w:val="0"/>
          <w:numId w:val="8"/>
        </w:numPr>
        <w:ind w:hanging="720"/>
        <w:rPr>
          <w:rFonts w:asciiTheme="minorHAnsi" w:hAnsiTheme="minorHAnsi" w:cs="Arial"/>
        </w:rPr>
      </w:pPr>
      <w:r w:rsidRPr="001C0159">
        <w:rPr>
          <w:rFonts w:asciiTheme="minorHAnsi" w:hAnsiTheme="minorHAnsi" w:cs="Arial"/>
        </w:rPr>
        <w:t>Any residents advised to move a scooter from an area that is deemed unsafe must do so and failure to comply will be considered a breach of the consent agreement.</w:t>
      </w:r>
    </w:p>
    <w:p w14:paraId="030F71FD" w14:textId="77777777" w:rsidR="00376F0D" w:rsidRPr="001C0159" w:rsidRDefault="00376F0D" w:rsidP="007E3EE9">
      <w:pPr>
        <w:pStyle w:val="ListParagraph"/>
        <w:rPr>
          <w:rFonts w:asciiTheme="minorHAnsi" w:hAnsiTheme="minorHAnsi" w:cs="Arial"/>
        </w:rPr>
      </w:pPr>
    </w:p>
    <w:p w14:paraId="71A195C3" w14:textId="4B1882BF" w:rsidR="00241D46" w:rsidRPr="001C0159" w:rsidRDefault="00733108" w:rsidP="007A298B">
      <w:pPr>
        <w:rPr>
          <w:rFonts w:asciiTheme="minorHAnsi" w:hAnsiTheme="minorHAnsi" w:cs="Arial"/>
          <w:b/>
        </w:rPr>
      </w:pPr>
      <w:r>
        <w:rPr>
          <w:rFonts w:asciiTheme="minorHAnsi" w:hAnsiTheme="minorHAnsi" w:cs="Arial"/>
          <w:b/>
        </w:rPr>
        <w:t>B.3</w:t>
      </w:r>
      <w:r>
        <w:rPr>
          <w:rFonts w:asciiTheme="minorHAnsi" w:hAnsiTheme="minorHAnsi" w:cs="Arial"/>
          <w:b/>
        </w:rPr>
        <w:tab/>
      </w:r>
      <w:r w:rsidR="00241D46" w:rsidRPr="001C0159">
        <w:rPr>
          <w:rFonts w:asciiTheme="minorHAnsi" w:hAnsiTheme="minorHAnsi" w:cs="Arial"/>
          <w:b/>
        </w:rPr>
        <w:t>Alternative storage options</w:t>
      </w:r>
    </w:p>
    <w:p w14:paraId="5EFB4104" w14:textId="67AF480D" w:rsidR="00241D46" w:rsidRPr="001C0159" w:rsidRDefault="00241D46" w:rsidP="007A298B">
      <w:pPr>
        <w:rPr>
          <w:rFonts w:asciiTheme="minorHAnsi" w:hAnsiTheme="minorHAnsi" w:cs="Arial"/>
        </w:rPr>
      </w:pPr>
      <w:r w:rsidRPr="001C0159">
        <w:rPr>
          <w:rFonts w:asciiTheme="minorHAnsi" w:hAnsiTheme="minorHAnsi" w:cs="Arial"/>
        </w:rPr>
        <w:t xml:space="preserve">Where it is not possible to store scooters in </w:t>
      </w:r>
      <w:r w:rsidR="00FE0FB8">
        <w:rPr>
          <w:rFonts w:asciiTheme="minorHAnsi" w:hAnsiTheme="minorHAnsi" w:cs="Arial"/>
        </w:rPr>
        <w:t>residents</w:t>
      </w:r>
      <w:r w:rsidRPr="001C0159">
        <w:rPr>
          <w:rFonts w:asciiTheme="minorHAnsi" w:hAnsiTheme="minorHAnsi" w:cs="Arial"/>
        </w:rPr>
        <w:t xml:space="preserve">’ homes or in communal stores/areas, and where there is a wait for </w:t>
      </w:r>
      <w:r w:rsidR="004C2709" w:rsidRPr="001C0159">
        <w:rPr>
          <w:rFonts w:asciiTheme="minorHAnsi" w:hAnsiTheme="minorHAnsi" w:cs="Arial"/>
        </w:rPr>
        <w:t>purpose-built</w:t>
      </w:r>
      <w:r w:rsidRPr="001C0159">
        <w:rPr>
          <w:rFonts w:asciiTheme="minorHAnsi" w:hAnsiTheme="minorHAnsi" w:cs="Arial"/>
        </w:rPr>
        <w:t xml:space="preserve"> storage, </w:t>
      </w:r>
      <w:r w:rsidR="00FE0FB8">
        <w:rPr>
          <w:rFonts w:asciiTheme="minorHAnsi" w:hAnsiTheme="minorHAnsi" w:cs="Arial"/>
        </w:rPr>
        <w:t>residents</w:t>
      </w:r>
      <w:r w:rsidRPr="001C0159">
        <w:rPr>
          <w:rFonts w:asciiTheme="minorHAnsi" w:hAnsiTheme="minorHAnsi" w:cs="Arial"/>
        </w:rPr>
        <w:t xml:space="preserve"> may want to consider alternative storage options.</w:t>
      </w:r>
    </w:p>
    <w:p w14:paraId="67FA14F0" w14:textId="1D46AA76" w:rsidR="00241D46" w:rsidRPr="001C0159" w:rsidRDefault="00241D46" w:rsidP="007A298B">
      <w:pPr>
        <w:rPr>
          <w:rFonts w:asciiTheme="minorHAnsi" w:hAnsiTheme="minorHAnsi" w:cs="Arial"/>
        </w:rPr>
      </w:pPr>
      <w:r w:rsidRPr="001C0159">
        <w:rPr>
          <w:rFonts w:asciiTheme="minorHAnsi" w:hAnsiTheme="minorHAnsi" w:cs="Arial"/>
        </w:rPr>
        <w:t>Anyone considering purchasing alternative storage must seek written permission from H</w:t>
      </w:r>
      <w:r w:rsidR="00C55B97">
        <w:rPr>
          <w:rFonts w:asciiTheme="minorHAnsi" w:hAnsiTheme="minorHAnsi" w:cs="Arial"/>
        </w:rPr>
        <w:t xml:space="preserve">ousing </w:t>
      </w:r>
      <w:r w:rsidRPr="001C0159">
        <w:rPr>
          <w:rFonts w:asciiTheme="minorHAnsi" w:hAnsiTheme="minorHAnsi" w:cs="Arial"/>
        </w:rPr>
        <w:t>21 and meet the cost of this themselves.</w:t>
      </w:r>
    </w:p>
    <w:p w14:paraId="000216E7" w14:textId="77777777" w:rsidR="00241D46" w:rsidRPr="001C0159" w:rsidRDefault="00241D46" w:rsidP="007A298B">
      <w:pPr>
        <w:rPr>
          <w:rFonts w:asciiTheme="minorHAnsi" w:hAnsiTheme="minorHAnsi" w:cs="Arial"/>
        </w:rPr>
      </w:pPr>
      <w:r w:rsidRPr="001C0159">
        <w:rPr>
          <w:rFonts w:asciiTheme="minorHAnsi" w:hAnsiTheme="minorHAnsi" w:cs="Arial"/>
        </w:rPr>
        <w:t>Other options available include:</w:t>
      </w:r>
    </w:p>
    <w:p w14:paraId="6B355BFB" w14:textId="77777777" w:rsidR="00241D46" w:rsidRPr="001C0159" w:rsidRDefault="00241D46" w:rsidP="007A298B">
      <w:pPr>
        <w:rPr>
          <w:rFonts w:asciiTheme="minorHAnsi" w:hAnsiTheme="minorHAnsi" w:cs="Arial"/>
          <w:u w:val="single"/>
        </w:rPr>
      </w:pPr>
      <w:r w:rsidRPr="001C0159">
        <w:rPr>
          <w:rFonts w:asciiTheme="minorHAnsi" w:hAnsiTheme="minorHAnsi" w:cs="Arial"/>
          <w:u w:val="single"/>
        </w:rPr>
        <w:t>External waterproof covers</w:t>
      </w:r>
    </w:p>
    <w:p w14:paraId="405CE547" w14:textId="5052F035" w:rsidR="002C45AF" w:rsidRDefault="00241D46" w:rsidP="11067ABC">
      <w:pPr>
        <w:spacing w:after="0"/>
        <w:rPr>
          <w:rFonts w:asciiTheme="minorHAnsi" w:hAnsiTheme="minorHAnsi" w:cs="Arial"/>
        </w:rPr>
      </w:pPr>
      <w:r w:rsidRPr="11067ABC">
        <w:rPr>
          <w:rFonts w:asciiTheme="minorHAnsi" w:hAnsiTheme="minorHAnsi" w:cs="Arial"/>
        </w:rPr>
        <w:t xml:space="preserve">This option </w:t>
      </w:r>
      <w:r w:rsidR="00D557D3" w:rsidRPr="11067ABC">
        <w:rPr>
          <w:rFonts w:asciiTheme="minorHAnsi" w:hAnsiTheme="minorHAnsi" w:cs="Arial"/>
        </w:rPr>
        <w:t>is dependent on the</w:t>
      </w:r>
      <w:r w:rsidR="060694A7" w:rsidRPr="11067ABC">
        <w:rPr>
          <w:rFonts w:asciiTheme="minorHAnsi" w:hAnsiTheme="minorHAnsi" w:cs="Arial"/>
        </w:rPr>
        <w:t>re</w:t>
      </w:r>
      <w:r w:rsidR="00D557D3" w:rsidRPr="11067ABC">
        <w:rPr>
          <w:rFonts w:asciiTheme="minorHAnsi" w:hAnsiTheme="minorHAnsi" w:cs="Arial"/>
        </w:rPr>
        <w:t xml:space="preserve"> being</w:t>
      </w:r>
      <w:r w:rsidRPr="11067ABC">
        <w:rPr>
          <w:rFonts w:asciiTheme="minorHAnsi" w:hAnsiTheme="minorHAnsi" w:cs="Arial"/>
        </w:rPr>
        <w:t xml:space="preserve"> space outside which will not cause an obstruction and where a power lead will not cause a trip hazard. An external socket outlet </w:t>
      </w:r>
      <w:r w:rsidR="00D557D3" w:rsidRPr="11067ABC">
        <w:rPr>
          <w:rFonts w:asciiTheme="minorHAnsi" w:hAnsiTheme="minorHAnsi" w:cs="Arial"/>
        </w:rPr>
        <w:t>is also</w:t>
      </w:r>
      <w:r w:rsidRPr="11067ABC">
        <w:rPr>
          <w:rFonts w:asciiTheme="minorHAnsi" w:hAnsiTheme="minorHAnsi" w:cs="Arial"/>
        </w:rPr>
        <w:t xml:space="preserve"> </w:t>
      </w:r>
      <w:r w:rsidR="00CC5DE3" w:rsidRPr="11067ABC">
        <w:rPr>
          <w:rFonts w:asciiTheme="minorHAnsi" w:hAnsiTheme="minorHAnsi" w:cs="Arial"/>
        </w:rPr>
        <w:t>required,</w:t>
      </w:r>
      <w:r w:rsidRPr="11067ABC">
        <w:rPr>
          <w:rFonts w:asciiTheme="minorHAnsi" w:hAnsiTheme="minorHAnsi" w:cs="Arial"/>
        </w:rPr>
        <w:t xml:space="preserve"> and H</w:t>
      </w:r>
      <w:r w:rsidR="00C55B97" w:rsidRPr="11067ABC">
        <w:rPr>
          <w:rFonts w:asciiTheme="minorHAnsi" w:hAnsiTheme="minorHAnsi" w:cs="Arial"/>
        </w:rPr>
        <w:t xml:space="preserve">ousing </w:t>
      </w:r>
      <w:r w:rsidRPr="11067ABC">
        <w:rPr>
          <w:rFonts w:asciiTheme="minorHAnsi" w:hAnsiTheme="minorHAnsi" w:cs="Arial"/>
        </w:rPr>
        <w:t>21 would need to carry out a risk assessment.</w:t>
      </w:r>
    </w:p>
    <w:p w14:paraId="0CC841A6" w14:textId="5852D0E5" w:rsidR="00D557D3" w:rsidRDefault="00D557D3" w:rsidP="007A298B">
      <w:pPr>
        <w:spacing w:after="0"/>
        <w:rPr>
          <w:rFonts w:asciiTheme="minorHAnsi" w:hAnsiTheme="minorHAnsi" w:cs="Arial"/>
        </w:rPr>
      </w:pPr>
    </w:p>
    <w:p w14:paraId="791691A2" w14:textId="74200E0F" w:rsidR="00241D46" w:rsidRPr="001C0159" w:rsidRDefault="00241D46" w:rsidP="007A298B">
      <w:pPr>
        <w:spacing w:after="0"/>
        <w:rPr>
          <w:rFonts w:asciiTheme="minorHAnsi" w:hAnsiTheme="minorHAnsi" w:cs="Arial"/>
        </w:rPr>
      </w:pPr>
      <w:r w:rsidRPr="001C0159">
        <w:rPr>
          <w:rFonts w:asciiTheme="minorHAnsi" w:hAnsiTheme="minorHAnsi" w:cs="Arial"/>
        </w:rPr>
        <w:t xml:space="preserve">Manufacturers offer a range of external </w:t>
      </w:r>
      <w:r w:rsidR="00CC5DE3" w:rsidRPr="001C0159">
        <w:rPr>
          <w:rFonts w:asciiTheme="minorHAnsi" w:hAnsiTheme="minorHAnsi" w:cs="Arial"/>
        </w:rPr>
        <w:t>covers,</w:t>
      </w:r>
      <w:r w:rsidRPr="001C0159">
        <w:rPr>
          <w:rFonts w:asciiTheme="minorHAnsi" w:hAnsiTheme="minorHAnsi" w:cs="Arial"/>
        </w:rPr>
        <w:t xml:space="preserve"> but these can be limited in extreme weather conditions and do not offer protection from theft.</w:t>
      </w:r>
    </w:p>
    <w:p w14:paraId="71DDFFBD" w14:textId="77777777" w:rsidR="00241D46" w:rsidRPr="001C0159" w:rsidRDefault="00241D46" w:rsidP="007A298B">
      <w:pPr>
        <w:spacing w:after="0"/>
        <w:rPr>
          <w:rFonts w:asciiTheme="minorHAnsi" w:hAnsiTheme="minorHAnsi" w:cs="Arial"/>
          <w:u w:val="single"/>
        </w:rPr>
      </w:pPr>
    </w:p>
    <w:p w14:paraId="6CA8FAA8" w14:textId="436F0164" w:rsidR="00241D46" w:rsidRPr="001C0159" w:rsidRDefault="00241D46" w:rsidP="007A298B">
      <w:pPr>
        <w:rPr>
          <w:rFonts w:asciiTheme="minorHAnsi" w:hAnsiTheme="minorHAnsi" w:cs="Arial"/>
        </w:rPr>
      </w:pPr>
      <w:r w:rsidRPr="001C0159">
        <w:rPr>
          <w:rFonts w:asciiTheme="minorHAnsi" w:hAnsiTheme="minorHAnsi" w:cs="Arial"/>
          <w:u w:val="single"/>
        </w:rPr>
        <w:t>Manufactured scooter storage units</w:t>
      </w:r>
    </w:p>
    <w:p w14:paraId="29A4E8C2" w14:textId="1621C970" w:rsidR="00241D46" w:rsidRPr="001C0159" w:rsidRDefault="00241D46" w:rsidP="11067ABC">
      <w:pPr>
        <w:rPr>
          <w:rFonts w:asciiTheme="minorHAnsi" w:hAnsiTheme="minorHAnsi" w:cs="Arial"/>
        </w:rPr>
      </w:pPr>
      <w:r w:rsidRPr="11067ABC">
        <w:rPr>
          <w:rFonts w:asciiTheme="minorHAnsi" w:hAnsiTheme="minorHAnsi" w:cs="Arial"/>
        </w:rPr>
        <w:t xml:space="preserve">These are small, secure units with built in battery chargers.  Normally for this type of storage, planning permission is not needed although </w:t>
      </w:r>
      <w:r w:rsidR="00FE0FB8">
        <w:rPr>
          <w:rFonts w:asciiTheme="minorHAnsi" w:hAnsiTheme="minorHAnsi" w:cs="Arial"/>
        </w:rPr>
        <w:t>residents</w:t>
      </w:r>
      <w:r w:rsidRPr="11067ABC">
        <w:rPr>
          <w:rFonts w:asciiTheme="minorHAnsi" w:hAnsiTheme="minorHAnsi" w:cs="Arial"/>
        </w:rPr>
        <w:t xml:space="preserve"> will need to agree the location with H</w:t>
      </w:r>
      <w:r w:rsidR="00C55B97" w:rsidRPr="11067ABC">
        <w:rPr>
          <w:rFonts w:asciiTheme="minorHAnsi" w:hAnsiTheme="minorHAnsi" w:cs="Arial"/>
        </w:rPr>
        <w:t xml:space="preserve">ousing </w:t>
      </w:r>
      <w:r w:rsidRPr="11067ABC">
        <w:rPr>
          <w:rFonts w:asciiTheme="minorHAnsi" w:hAnsiTheme="minorHAnsi" w:cs="Arial"/>
        </w:rPr>
        <w:t xml:space="preserve">21 ensuring that they do not obstruct windows or block access paths. A secure power connection will be </w:t>
      </w:r>
      <w:r w:rsidR="00485DB4" w:rsidRPr="11067ABC">
        <w:rPr>
          <w:rFonts w:asciiTheme="minorHAnsi" w:hAnsiTheme="minorHAnsi" w:cs="Arial"/>
        </w:rPr>
        <w:t>required,</w:t>
      </w:r>
      <w:r w:rsidRPr="11067ABC">
        <w:rPr>
          <w:rFonts w:asciiTheme="minorHAnsi" w:hAnsiTheme="minorHAnsi" w:cs="Arial"/>
        </w:rPr>
        <w:t xml:space="preserve"> and a level paved surface </w:t>
      </w:r>
      <w:r w:rsidR="0EF1E0DB" w:rsidRPr="11067ABC">
        <w:rPr>
          <w:rFonts w:asciiTheme="minorHAnsi" w:hAnsiTheme="minorHAnsi" w:cs="Arial"/>
        </w:rPr>
        <w:t xml:space="preserve">must be </w:t>
      </w:r>
      <w:r w:rsidRPr="11067ABC">
        <w:rPr>
          <w:rFonts w:asciiTheme="minorHAnsi" w:hAnsiTheme="minorHAnsi" w:cs="Arial"/>
        </w:rPr>
        <w:t>available.</w:t>
      </w:r>
    </w:p>
    <w:p w14:paraId="36821958" w14:textId="77777777" w:rsidR="00241D46" w:rsidRPr="001C0159" w:rsidRDefault="00241D46" w:rsidP="007A298B">
      <w:pPr>
        <w:spacing w:after="0"/>
        <w:rPr>
          <w:rFonts w:asciiTheme="minorHAnsi" w:hAnsiTheme="minorHAnsi" w:cs="Arial"/>
        </w:rPr>
      </w:pPr>
      <w:r w:rsidRPr="001C0159">
        <w:rPr>
          <w:rFonts w:asciiTheme="minorHAnsi" w:hAnsiTheme="minorHAnsi" w:cs="Arial"/>
        </w:rPr>
        <w:t>Any external storage solution should be fully risk assessed and consider arson, location, fire spread, access/egress and maintenance.</w:t>
      </w:r>
    </w:p>
    <w:p w14:paraId="10A4CA63" w14:textId="28F9C7B2" w:rsidR="0004190D" w:rsidRDefault="0004190D" w:rsidP="007A298B">
      <w:pPr>
        <w:shd w:val="clear" w:color="auto" w:fill="FFE599" w:themeFill="accent4" w:themeFillTint="66"/>
        <w:spacing w:after="0"/>
        <w:rPr>
          <w:rFonts w:eastAsiaTheme="minorHAnsi" w:cs="Calibri"/>
          <w:b/>
          <w:bCs/>
        </w:rPr>
      </w:pPr>
      <w:r>
        <w:rPr>
          <w:rFonts w:eastAsiaTheme="minorHAnsi" w:cs="Calibri"/>
          <w:b/>
          <w:bCs/>
        </w:rPr>
        <w:lastRenderedPageBreak/>
        <w:t>C.</w:t>
      </w:r>
      <w:r>
        <w:rPr>
          <w:rFonts w:eastAsiaTheme="minorHAnsi" w:cs="Calibri"/>
          <w:b/>
          <w:bCs/>
        </w:rPr>
        <w:tab/>
      </w:r>
      <w:r w:rsidR="004B4C55">
        <w:rPr>
          <w:rFonts w:eastAsiaTheme="minorHAnsi" w:cs="Calibri"/>
          <w:b/>
          <w:bCs/>
        </w:rPr>
        <w:t xml:space="preserve">Conditions of </w:t>
      </w:r>
      <w:r>
        <w:rPr>
          <w:rFonts w:eastAsiaTheme="minorHAnsi" w:cs="Calibri"/>
          <w:b/>
          <w:bCs/>
        </w:rPr>
        <w:t xml:space="preserve">Use of mobility </w:t>
      </w:r>
      <w:r w:rsidR="004B4C55">
        <w:rPr>
          <w:rFonts w:eastAsiaTheme="minorHAnsi" w:cs="Calibri"/>
          <w:b/>
          <w:bCs/>
        </w:rPr>
        <w:t>vehicle</w:t>
      </w:r>
      <w:r>
        <w:rPr>
          <w:rFonts w:eastAsiaTheme="minorHAnsi" w:cs="Calibri"/>
          <w:b/>
          <w:bCs/>
        </w:rPr>
        <w:t xml:space="preserve"> on court</w:t>
      </w:r>
    </w:p>
    <w:p w14:paraId="0C7B05AC" w14:textId="77777777" w:rsidR="004B4C55" w:rsidRDefault="004B4C55" w:rsidP="007A298B">
      <w:pPr>
        <w:shd w:val="clear" w:color="auto" w:fill="FFFFFF" w:themeFill="background1"/>
        <w:spacing w:after="0"/>
        <w:rPr>
          <w:rFonts w:eastAsiaTheme="minorHAnsi" w:cs="Calibri"/>
          <w:b/>
          <w:bCs/>
        </w:rPr>
      </w:pPr>
    </w:p>
    <w:p w14:paraId="3F54C444" w14:textId="6A396953" w:rsidR="00565D4C" w:rsidRDefault="00E27718" w:rsidP="007A298B">
      <w:pPr>
        <w:spacing w:after="120"/>
        <w:ind w:left="720" w:hanging="720"/>
        <w:rPr>
          <w:rFonts w:asciiTheme="minorHAnsi" w:hAnsiTheme="minorHAnsi" w:cs="Arial"/>
        </w:rPr>
      </w:pPr>
      <w:r>
        <w:rPr>
          <w:rFonts w:asciiTheme="minorHAnsi" w:hAnsiTheme="minorHAnsi" w:cs="Arial"/>
        </w:rPr>
        <w:t>C1.</w:t>
      </w:r>
      <w:r>
        <w:rPr>
          <w:rFonts w:asciiTheme="minorHAnsi" w:hAnsiTheme="minorHAnsi" w:cs="Arial"/>
        </w:rPr>
        <w:tab/>
      </w:r>
      <w:r w:rsidR="00565D4C" w:rsidRPr="001C0159">
        <w:rPr>
          <w:rFonts w:asciiTheme="minorHAnsi" w:hAnsiTheme="minorHAnsi" w:cs="Arial"/>
        </w:rPr>
        <w:t xml:space="preserve">Scooters must be ridden safely and in a responsible manner within the court and grounds taking due care and consideration of other people and surroundings.  </w:t>
      </w:r>
    </w:p>
    <w:p w14:paraId="25E20C9C" w14:textId="35D48DCE" w:rsidR="00885E0B" w:rsidRPr="00126EAC" w:rsidRDefault="00E27718" w:rsidP="007A298B">
      <w:pPr>
        <w:spacing w:after="120"/>
        <w:ind w:left="720" w:hanging="720"/>
        <w:rPr>
          <w:rFonts w:asciiTheme="minorHAnsi" w:hAnsiTheme="minorHAnsi" w:cs="Arial"/>
        </w:rPr>
      </w:pPr>
      <w:r w:rsidRPr="00126EAC">
        <w:rPr>
          <w:rFonts w:asciiTheme="minorHAnsi" w:hAnsiTheme="minorHAnsi" w:cs="Arial"/>
        </w:rPr>
        <w:t>C2.</w:t>
      </w:r>
      <w:r w:rsidRPr="00126EAC">
        <w:rPr>
          <w:rFonts w:asciiTheme="minorHAnsi" w:hAnsiTheme="minorHAnsi" w:cs="Arial"/>
        </w:rPr>
        <w:tab/>
      </w:r>
      <w:r w:rsidR="00885E0B" w:rsidRPr="00126EAC">
        <w:rPr>
          <w:rFonts w:asciiTheme="minorHAnsi" w:hAnsiTheme="minorHAnsi" w:cs="Arial"/>
        </w:rPr>
        <w:t>All travel inside Housing 21 buildings most not exceed more than 2mp</w:t>
      </w:r>
      <w:r w:rsidR="00AF1065" w:rsidRPr="00126EAC">
        <w:rPr>
          <w:rFonts w:asciiTheme="minorHAnsi" w:hAnsiTheme="minorHAnsi" w:cs="Arial"/>
        </w:rPr>
        <w:t xml:space="preserve">h to ensure the safety of all </w:t>
      </w:r>
      <w:r w:rsidR="00FE0FB8">
        <w:rPr>
          <w:rFonts w:asciiTheme="minorHAnsi" w:hAnsiTheme="minorHAnsi" w:cs="Arial"/>
        </w:rPr>
        <w:t>residents</w:t>
      </w:r>
      <w:r w:rsidR="00AF1065" w:rsidRPr="00126EAC">
        <w:rPr>
          <w:rFonts w:asciiTheme="minorHAnsi" w:hAnsiTheme="minorHAnsi" w:cs="Arial"/>
        </w:rPr>
        <w:t>, employees, and visitors.</w:t>
      </w:r>
    </w:p>
    <w:p w14:paraId="661CCF39" w14:textId="5A48CC09" w:rsidR="0004190D" w:rsidRPr="00126EAC" w:rsidRDefault="00E27718" w:rsidP="007A298B">
      <w:pPr>
        <w:shd w:val="clear" w:color="auto" w:fill="FFFFFF" w:themeFill="background1"/>
        <w:spacing w:after="0"/>
        <w:ind w:left="720" w:hanging="720"/>
        <w:rPr>
          <w:rFonts w:eastAsiaTheme="minorHAnsi" w:cs="Calibri"/>
        </w:rPr>
      </w:pPr>
      <w:r w:rsidRPr="00126EAC">
        <w:rPr>
          <w:rFonts w:eastAsiaTheme="minorHAnsi" w:cs="Calibri"/>
        </w:rPr>
        <w:t>C3.</w:t>
      </w:r>
      <w:r w:rsidRPr="00126EAC">
        <w:rPr>
          <w:rFonts w:eastAsiaTheme="minorHAnsi" w:cs="Calibri"/>
        </w:rPr>
        <w:tab/>
      </w:r>
      <w:r w:rsidR="00FE0FB8">
        <w:rPr>
          <w:rFonts w:eastAsiaTheme="minorHAnsi" w:cs="Calibri"/>
        </w:rPr>
        <w:t>Residents</w:t>
      </w:r>
      <w:r w:rsidR="00D57C6A" w:rsidRPr="00126EAC">
        <w:rPr>
          <w:rFonts w:eastAsiaTheme="minorHAnsi" w:cs="Calibri"/>
        </w:rPr>
        <w:t xml:space="preserve"> should p</w:t>
      </w:r>
      <w:r w:rsidR="00DD3E1C" w:rsidRPr="00126EAC">
        <w:rPr>
          <w:rFonts w:eastAsiaTheme="minorHAnsi" w:cs="Calibri"/>
        </w:rPr>
        <w:t>rovide, upon reasonable request by an employee of Housing 21</w:t>
      </w:r>
      <w:r w:rsidR="00D57C6A" w:rsidRPr="00126EAC">
        <w:rPr>
          <w:rFonts w:eastAsiaTheme="minorHAnsi" w:cs="Calibri"/>
        </w:rPr>
        <w:t>, the following documents:</w:t>
      </w:r>
    </w:p>
    <w:p w14:paraId="62D95032" w14:textId="4488F409" w:rsidR="00D57C6A" w:rsidRPr="00126EAC" w:rsidRDefault="00557470" w:rsidP="002C45AF">
      <w:pPr>
        <w:pStyle w:val="ListParagraph"/>
        <w:numPr>
          <w:ilvl w:val="1"/>
          <w:numId w:val="12"/>
        </w:numPr>
        <w:shd w:val="clear" w:color="auto" w:fill="FFFFFF" w:themeFill="background1"/>
        <w:spacing w:after="0"/>
        <w:ind w:left="1276"/>
        <w:rPr>
          <w:rFonts w:eastAsiaTheme="minorHAnsi" w:cs="Calibri"/>
        </w:rPr>
      </w:pPr>
      <w:r w:rsidRPr="00126EAC">
        <w:rPr>
          <w:rFonts w:eastAsiaTheme="minorHAnsi" w:cs="Calibri"/>
        </w:rPr>
        <w:t>a</w:t>
      </w:r>
      <w:r w:rsidR="00A56DBE" w:rsidRPr="00126EAC">
        <w:rPr>
          <w:rFonts w:eastAsiaTheme="minorHAnsi" w:cs="Calibri"/>
        </w:rPr>
        <w:t xml:space="preserve"> copy of the liability insurance cover for the </w:t>
      </w:r>
      <w:r w:rsidR="00BC7EC3" w:rsidRPr="00126EAC">
        <w:rPr>
          <w:rFonts w:eastAsiaTheme="minorHAnsi" w:cs="Calibri"/>
        </w:rPr>
        <w:t>mobility vehicle</w:t>
      </w:r>
    </w:p>
    <w:p w14:paraId="1B00AA35" w14:textId="5531D79F" w:rsidR="00A56DBE" w:rsidRPr="00126EAC" w:rsidRDefault="00557470" w:rsidP="002C45AF">
      <w:pPr>
        <w:pStyle w:val="ListParagraph"/>
        <w:numPr>
          <w:ilvl w:val="1"/>
          <w:numId w:val="12"/>
        </w:numPr>
        <w:shd w:val="clear" w:color="auto" w:fill="FFFFFF" w:themeFill="background1"/>
        <w:spacing w:after="0"/>
        <w:ind w:left="1276"/>
        <w:rPr>
          <w:rFonts w:eastAsiaTheme="minorHAnsi" w:cs="Calibri"/>
        </w:rPr>
      </w:pPr>
      <w:r w:rsidRPr="00126EAC">
        <w:rPr>
          <w:rFonts w:eastAsiaTheme="minorHAnsi" w:cs="Calibri"/>
        </w:rPr>
        <w:t>a</w:t>
      </w:r>
      <w:r w:rsidR="00A56DBE" w:rsidRPr="00126EAC">
        <w:rPr>
          <w:rFonts w:eastAsiaTheme="minorHAnsi" w:cs="Calibri"/>
        </w:rPr>
        <w:t xml:space="preserve"> copy of the vehicles annual service documentation</w:t>
      </w:r>
    </w:p>
    <w:p w14:paraId="6D7C193A" w14:textId="1AA7EB87" w:rsidR="00A56DBE" w:rsidRPr="00126EAC" w:rsidRDefault="00557470" w:rsidP="002C45AF">
      <w:pPr>
        <w:pStyle w:val="ListParagraph"/>
        <w:numPr>
          <w:ilvl w:val="1"/>
          <w:numId w:val="12"/>
        </w:numPr>
        <w:shd w:val="clear" w:color="auto" w:fill="FFFFFF" w:themeFill="background1"/>
        <w:spacing w:after="0"/>
        <w:ind w:left="1276"/>
        <w:rPr>
          <w:rFonts w:eastAsiaTheme="minorHAnsi" w:cs="Calibri"/>
        </w:rPr>
      </w:pPr>
      <w:r w:rsidRPr="00126EAC">
        <w:rPr>
          <w:rFonts w:eastAsiaTheme="minorHAnsi" w:cs="Calibri"/>
        </w:rPr>
        <w:t>a</w:t>
      </w:r>
      <w:r w:rsidR="00A56DBE" w:rsidRPr="00126EAC">
        <w:rPr>
          <w:rFonts w:eastAsiaTheme="minorHAnsi" w:cs="Calibri"/>
        </w:rPr>
        <w:t xml:space="preserve"> copy of the Portable Appliance Test (PAT) of the charging equipment.</w:t>
      </w:r>
    </w:p>
    <w:p w14:paraId="6462F2A1" w14:textId="2BFE34A8" w:rsidR="005C2017" w:rsidRDefault="00E27718" w:rsidP="007A298B">
      <w:pPr>
        <w:spacing w:after="0"/>
        <w:ind w:left="720" w:hanging="720"/>
        <w:rPr>
          <w:rFonts w:asciiTheme="minorHAnsi" w:hAnsiTheme="minorHAnsi" w:cs="Arial"/>
        </w:rPr>
      </w:pPr>
      <w:r>
        <w:rPr>
          <w:rFonts w:asciiTheme="minorHAnsi" w:hAnsiTheme="minorHAnsi" w:cs="Arial"/>
        </w:rPr>
        <w:t>C4.</w:t>
      </w:r>
      <w:r>
        <w:rPr>
          <w:rFonts w:asciiTheme="minorHAnsi" w:hAnsiTheme="minorHAnsi" w:cs="Arial"/>
        </w:rPr>
        <w:tab/>
      </w:r>
      <w:r w:rsidR="005C2017" w:rsidRPr="001C0159">
        <w:rPr>
          <w:rFonts w:asciiTheme="minorHAnsi" w:hAnsiTheme="minorHAnsi" w:cs="Arial"/>
        </w:rPr>
        <w:t xml:space="preserve">Any damage to any parts of the building should be reported immediately to the </w:t>
      </w:r>
      <w:r w:rsidR="00A505F4">
        <w:rPr>
          <w:rFonts w:asciiTheme="minorHAnsi" w:hAnsiTheme="minorHAnsi" w:cs="Arial"/>
        </w:rPr>
        <w:t>Local Housing</w:t>
      </w:r>
      <w:r w:rsidR="005C2017" w:rsidRPr="001C0159">
        <w:rPr>
          <w:rFonts w:asciiTheme="minorHAnsi" w:hAnsiTheme="minorHAnsi" w:cs="Arial"/>
        </w:rPr>
        <w:t xml:space="preserve">/Extra </w:t>
      </w:r>
      <w:r w:rsidR="00A505F4">
        <w:rPr>
          <w:rFonts w:asciiTheme="minorHAnsi" w:hAnsiTheme="minorHAnsi" w:cs="Arial"/>
        </w:rPr>
        <w:t>C</w:t>
      </w:r>
      <w:r w:rsidR="005C2017" w:rsidRPr="001C0159">
        <w:rPr>
          <w:rFonts w:asciiTheme="minorHAnsi" w:hAnsiTheme="minorHAnsi" w:cs="Arial"/>
        </w:rPr>
        <w:t>are Manager.</w:t>
      </w:r>
    </w:p>
    <w:p w14:paraId="65DF9D72" w14:textId="62F6DB2B" w:rsidR="00914353" w:rsidRDefault="00E27718" w:rsidP="007A298B">
      <w:pPr>
        <w:spacing w:after="0"/>
        <w:ind w:left="720" w:hanging="720"/>
        <w:rPr>
          <w:rFonts w:asciiTheme="minorHAnsi" w:hAnsiTheme="minorHAnsi" w:cs="Arial"/>
        </w:rPr>
      </w:pPr>
      <w:r>
        <w:rPr>
          <w:rFonts w:asciiTheme="minorHAnsi" w:hAnsiTheme="minorHAnsi" w:cs="Arial"/>
        </w:rPr>
        <w:t>C5.</w:t>
      </w:r>
      <w:r>
        <w:rPr>
          <w:rFonts w:asciiTheme="minorHAnsi" w:hAnsiTheme="minorHAnsi" w:cs="Arial"/>
        </w:rPr>
        <w:tab/>
      </w:r>
      <w:r w:rsidR="00FE0FB8">
        <w:rPr>
          <w:rFonts w:asciiTheme="minorHAnsi" w:hAnsiTheme="minorHAnsi" w:cs="Arial"/>
        </w:rPr>
        <w:t>Residents</w:t>
      </w:r>
      <w:r w:rsidR="00914353">
        <w:rPr>
          <w:rFonts w:asciiTheme="minorHAnsi" w:hAnsiTheme="minorHAnsi" w:cs="Arial"/>
        </w:rPr>
        <w:t xml:space="preserve"> must pay for any damage to Housing 21 property caused by collision or misuse of a mobility vehicle.</w:t>
      </w:r>
    </w:p>
    <w:p w14:paraId="208BF4C4" w14:textId="4D328B67" w:rsidR="00C25B90" w:rsidRDefault="00E27718" w:rsidP="007A298B">
      <w:pPr>
        <w:spacing w:after="0"/>
        <w:ind w:left="720" w:hanging="720"/>
        <w:rPr>
          <w:rFonts w:asciiTheme="minorHAnsi" w:hAnsiTheme="minorHAnsi" w:cs="Arial"/>
        </w:rPr>
      </w:pPr>
      <w:r>
        <w:rPr>
          <w:rFonts w:asciiTheme="minorHAnsi" w:hAnsiTheme="minorHAnsi" w:cs="Arial"/>
        </w:rPr>
        <w:t>C6.</w:t>
      </w:r>
      <w:r>
        <w:rPr>
          <w:rFonts w:asciiTheme="minorHAnsi" w:hAnsiTheme="minorHAnsi" w:cs="Arial"/>
        </w:rPr>
        <w:tab/>
        <w:t>Visitors’</w:t>
      </w:r>
      <w:r w:rsidR="00C25B90">
        <w:rPr>
          <w:rFonts w:asciiTheme="minorHAnsi" w:hAnsiTheme="minorHAnsi" w:cs="Arial"/>
        </w:rPr>
        <w:t xml:space="preserve"> mobility vehicles are not permitted to be charged, </w:t>
      </w:r>
      <w:r w:rsidR="00A505F4">
        <w:rPr>
          <w:rFonts w:asciiTheme="minorHAnsi" w:hAnsiTheme="minorHAnsi" w:cs="Arial"/>
        </w:rPr>
        <w:t>stored,</w:t>
      </w:r>
      <w:r w:rsidR="00C25B90">
        <w:rPr>
          <w:rFonts w:asciiTheme="minorHAnsi" w:hAnsiTheme="minorHAnsi" w:cs="Arial"/>
        </w:rPr>
        <w:t xml:space="preserve"> or left unattended in any area that causes an obstruction within the property and breaches the storage conditions contained in the Mobility Vehicle Policy.</w:t>
      </w:r>
    </w:p>
    <w:p w14:paraId="7E855558" w14:textId="2BF5BA0C" w:rsidR="00E27718" w:rsidRDefault="00E27718" w:rsidP="007A298B">
      <w:pPr>
        <w:spacing w:after="0"/>
        <w:rPr>
          <w:rFonts w:asciiTheme="minorHAnsi" w:hAnsiTheme="minorHAnsi" w:cs="Arial"/>
        </w:rPr>
      </w:pPr>
      <w:r>
        <w:rPr>
          <w:rFonts w:asciiTheme="minorHAnsi" w:hAnsiTheme="minorHAnsi" w:cs="Arial"/>
        </w:rPr>
        <w:t>C7.</w:t>
      </w:r>
      <w:r>
        <w:rPr>
          <w:rFonts w:asciiTheme="minorHAnsi" w:hAnsiTheme="minorHAnsi" w:cs="Arial"/>
        </w:rPr>
        <w:tab/>
        <w:t xml:space="preserve">Vehicles stored in designated areas are left at the </w:t>
      </w:r>
      <w:r w:rsidR="002543D8">
        <w:rPr>
          <w:rFonts w:asciiTheme="minorHAnsi" w:hAnsiTheme="minorHAnsi" w:cs="Arial"/>
        </w:rPr>
        <w:t>resident</w:t>
      </w:r>
      <w:r>
        <w:rPr>
          <w:rFonts w:asciiTheme="minorHAnsi" w:hAnsiTheme="minorHAnsi" w:cs="Arial"/>
        </w:rPr>
        <w:t>’s own risk.</w:t>
      </w:r>
    </w:p>
    <w:p w14:paraId="203CFDC1" w14:textId="35207065" w:rsidR="00011DAF" w:rsidRPr="008251A6" w:rsidRDefault="006823CA" w:rsidP="00F33A04">
      <w:pPr>
        <w:spacing w:after="0"/>
        <w:ind w:left="720" w:hanging="720"/>
        <w:rPr>
          <w:rFonts w:asciiTheme="minorHAnsi" w:hAnsiTheme="minorHAnsi" w:cs="Arial"/>
        </w:rPr>
      </w:pPr>
      <w:r>
        <w:rPr>
          <w:rFonts w:asciiTheme="minorHAnsi" w:hAnsiTheme="minorHAnsi" w:cs="Arial"/>
        </w:rPr>
        <w:t xml:space="preserve">C8. </w:t>
      </w:r>
      <w:r>
        <w:rPr>
          <w:rFonts w:asciiTheme="minorHAnsi" w:hAnsiTheme="minorHAnsi" w:cs="Arial"/>
        </w:rPr>
        <w:tab/>
      </w:r>
      <w:r w:rsidR="00011DAF" w:rsidRPr="008251A6">
        <w:rPr>
          <w:rFonts w:eastAsiaTheme="minorHAnsi" w:cs="Calibri"/>
        </w:rPr>
        <w:t xml:space="preserve">If residents are found to be breaching the conditions stated in this policy and accompanying documents, depending on the risks and severity of the breach(s) initially a warning will be issued from the scheme Manager.  </w:t>
      </w:r>
    </w:p>
    <w:p w14:paraId="5EDFA1B0" w14:textId="77777777" w:rsidR="00011DAF" w:rsidRPr="008251A6" w:rsidRDefault="00011DAF" w:rsidP="00011DAF">
      <w:pPr>
        <w:pStyle w:val="ListParagraph"/>
        <w:spacing w:after="0"/>
        <w:ind w:left="0"/>
        <w:rPr>
          <w:rFonts w:eastAsiaTheme="minorHAnsi" w:cs="Calibri"/>
        </w:rPr>
      </w:pPr>
    </w:p>
    <w:p w14:paraId="444ACF34" w14:textId="77777777" w:rsidR="00011DAF" w:rsidRDefault="00011DAF" w:rsidP="00F33A04">
      <w:pPr>
        <w:pStyle w:val="ListParagraph"/>
        <w:spacing w:after="0"/>
        <w:rPr>
          <w:rFonts w:eastAsiaTheme="minorHAnsi" w:cs="Calibri"/>
        </w:rPr>
      </w:pPr>
      <w:r w:rsidRPr="008251A6">
        <w:rPr>
          <w:rFonts w:eastAsiaTheme="minorHAnsi" w:cs="Calibri"/>
        </w:rPr>
        <w:t>If the issues in the warning are not addressed the Head of Service will issue a notice to the resident giving them a specified time-period to rectify the issue(s). Failure to comply with the notice will result in the resident being asked to remove the mobility vehicle from the building within seven days, the vehicle will need to be stored externally at the owner’s risk.</w:t>
      </w:r>
    </w:p>
    <w:p w14:paraId="1D996178" w14:textId="77777777" w:rsidR="00011DAF" w:rsidRDefault="00011DAF" w:rsidP="004C3047">
      <w:pPr>
        <w:spacing w:after="0"/>
        <w:ind w:left="720" w:hanging="720"/>
        <w:rPr>
          <w:rFonts w:asciiTheme="minorHAnsi" w:hAnsiTheme="minorHAnsi" w:cs="Arial"/>
        </w:rPr>
      </w:pPr>
    </w:p>
    <w:p w14:paraId="45494C98" w14:textId="77777777" w:rsidR="00520B4B" w:rsidRPr="001C0159" w:rsidRDefault="00520B4B" w:rsidP="004C3047">
      <w:pPr>
        <w:spacing w:after="0"/>
        <w:ind w:left="720" w:hanging="720"/>
        <w:rPr>
          <w:rFonts w:asciiTheme="minorHAnsi" w:hAnsiTheme="minorHAnsi" w:cs="Arial"/>
        </w:rPr>
      </w:pPr>
    </w:p>
    <w:p w14:paraId="7CD58BFC" w14:textId="3D43202B" w:rsidR="005C2017" w:rsidRDefault="005C2017" w:rsidP="007A298B">
      <w:pPr>
        <w:shd w:val="clear" w:color="auto" w:fill="FFFFFF" w:themeFill="background1"/>
        <w:spacing w:after="0"/>
        <w:rPr>
          <w:rFonts w:eastAsiaTheme="minorHAnsi" w:cs="Calibri"/>
          <w:b/>
          <w:bCs/>
        </w:rPr>
      </w:pPr>
      <w:r>
        <w:rPr>
          <w:rFonts w:eastAsiaTheme="minorHAnsi" w:cs="Calibri"/>
          <w:b/>
          <w:bCs/>
        </w:rPr>
        <w:t xml:space="preserve">Restrictions on charging </w:t>
      </w:r>
      <w:r w:rsidR="00BC7EC3">
        <w:rPr>
          <w:rFonts w:eastAsiaTheme="minorHAnsi" w:cs="Calibri"/>
          <w:b/>
          <w:bCs/>
        </w:rPr>
        <w:t>mobility vehicle</w:t>
      </w:r>
      <w:r>
        <w:rPr>
          <w:rFonts w:eastAsiaTheme="minorHAnsi" w:cs="Calibri"/>
          <w:b/>
          <w:bCs/>
        </w:rPr>
        <w:t>s/vehicle batteries</w:t>
      </w:r>
    </w:p>
    <w:p w14:paraId="6C5254F0" w14:textId="106FBD0F" w:rsidR="00AF5B1D" w:rsidRPr="00AD5891" w:rsidRDefault="002558FB" w:rsidP="007A298B">
      <w:pPr>
        <w:pStyle w:val="ListParagraph"/>
        <w:numPr>
          <w:ilvl w:val="0"/>
          <w:numId w:val="9"/>
        </w:numPr>
        <w:spacing w:after="120"/>
        <w:ind w:hanging="720"/>
        <w:rPr>
          <w:rFonts w:asciiTheme="minorHAnsi" w:hAnsiTheme="minorHAnsi" w:cs="Arial"/>
        </w:rPr>
      </w:pPr>
      <w:r w:rsidRPr="00AD5891">
        <w:rPr>
          <w:rFonts w:asciiTheme="minorHAnsi" w:hAnsiTheme="minorHAnsi" w:cs="Arial"/>
        </w:rPr>
        <w:t>To reduce risk of fire during sleeping hou</w:t>
      </w:r>
      <w:r w:rsidR="000E6D9D" w:rsidRPr="00AD5891">
        <w:rPr>
          <w:rFonts w:asciiTheme="minorHAnsi" w:hAnsiTheme="minorHAnsi" w:cs="Arial"/>
        </w:rPr>
        <w:t>rs</w:t>
      </w:r>
      <w:r w:rsidRPr="00AD5891">
        <w:rPr>
          <w:rFonts w:asciiTheme="minorHAnsi" w:hAnsiTheme="minorHAnsi" w:cs="Arial"/>
        </w:rPr>
        <w:t xml:space="preserve"> c</w:t>
      </w:r>
      <w:r w:rsidR="00AF5B1D" w:rsidRPr="00AD5891">
        <w:rPr>
          <w:rFonts w:asciiTheme="minorHAnsi" w:hAnsiTheme="minorHAnsi" w:cs="Arial"/>
        </w:rPr>
        <w:t xml:space="preserve">harging </w:t>
      </w:r>
      <w:r w:rsidR="002543D8" w:rsidRPr="00AD5891">
        <w:rPr>
          <w:rFonts w:asciiTheme="minorHAnsi" w:hAnsiTheme="minorHAnsi" w:cs="Arial"/>
        </w:rPr>
        <w:t xml:space="preserve">of mobility vehicles </w:t>
      </w:r>
      <w:r w:rsidR="00AF5B1D" w:rsidRPr="00AD5891">
        <w:rPr>
          <w:rFonts w:asciiTheme="minorHAnsi" w:hAnsiTheme="minorHAnsi" w:cs="Arial"/>
        </w:rPr>
        <w:t xml:space="preserve">is </w:t>
      </w:r>
      <w:r w:rsidR="002543D8" w:rsidRPr="00AD5891">
        <w:rPr>
          <w:rFonts w:asciiTheme="minorHAnsi" w:hAnsiTheme="minorHAnsi" w:cs="Arial"/>
        </w:rPr>
        <w:t>not permitted</w:t>
      </w:r>
      <w:r w:rsidR="00AF5B1D" w:rsidRPr="00AD5891">
        <w:rPr>
          <w:rFonts w:asciiTheme="minorHAnsi" w:hAnsiTheme="minorHAnsi" w:cs="Arial"/>
        </w:rPr>
        <w:t xml:space="preserve"> between 10pm and 6am </w:t>
      </w:r>
      <w:r w:rsidR="00A14BF3" w:rsidRPr="00AD5891">
        <w:rPr>
          <w:rFonts w:asciiTheme="minorHAnsi" w:hAnsiTheme="minorHAnsi" w:cs="Arial"/>
        </w:rPr>
        <w:t>in line with the National Fire Chief Council guidance.</w:t>
      </w:r>
    </w:p>
    <w:p w14:paraId="2D9176F8" w14:textId="233D48E1" w:rsidR="00AF5B1D" w:rsidRPr="00AD5891" w:rsidRDefault="00AF5B1D" w:rsidP="007A298B">
      <w:pPr>
        <w:pStyle w:val="ListParagraph"/>
        <w:numPr>
          <w:ilvl w:val="0"/>
          <w:numId w:val="9"/>
        </w:numPr>
        <w:spacing w:after="120"/>
        <w:ind w:hanging="720"/>
        <w:rPr>
          <w:rFonts w:asciiTheme="minorHAnsi" w:hAnsiTheme="minorHAnsi" w:cs="Arial"/>
        </w:rPr>
      </w:pPr>
      <w:r w:rsidRPr="00AD5891">
        <w:rPr>
          <w:rFonts w:asciiTheme="minorHAnsi" w:hAnsiTheme="minorHAnsi" w:cs="Arial"/>
        </w:rPr>
        <w:t>Any charging in designated storage areas is subject to a portable appliance testing programme</w:t>
      </w:r>
      <w:r w:rsidR="002543D8" w:rsidRPr="00AD5891">
        <w:rPr>
          <w:rFonts w:asciiTheme="minorHAnsi" w:hAnsiTheme="minorHAnsi" w:cs="Arial"/>
        </w:rPr>
        <w:t>, which is the responsibility of the vehicle owner</w:t>
      </w:r>
      <w:r w:rsidRPr="00AD5891">
        <w:rPr>
          <w:rFonts w:asciiTheme="minorHAnsi" w:hAnsiTheme="minorHAnsi" w:cs="Arial"/>
        </w:rPr>
        <w:t>.</w:t>
      </w:r>
    </w:p>
    <w:p w14:paraId="25A092CD" w14:textId="3162555C" w:rsidR="00A14BF3" w:rsidRPr="001C0159" w:rsidRDefault="00A14BF3" w:rsidP="007A298B">
      <w:pPr>
        <w:pStyle w:val="ListParagraph"/>
        <w:numPr>
          <w:ilvl w:val="0"/>
          <w:numId w:val="9"/>
        </w:numPr>
        <w:spacing w:after="120"/>
        <w:ind w:hanging="720"/>
        <w:rPr>
          <w:rFonts w:asciiTheme="minorHAnsi" w:hAnsiTheme="minorHAnsi" w:cs="Arial"/>
        </w:rPr>
      </w:pPr>
      <w:r>
        <w:rPr>
          <w:rFonts w:asciiTheme="minorHAnsi" w:hAnsiTheme="minorHAnsi" w:cs="Arial"/>
        </w:rPr>
        <w:t xml:space="preserve">If any </w:t>
      </w:r>
      <w:r w:rsidR="00334A48">
        <w:rPr>
          <w:rFonts w:asciiTheme="minorHAnsi" w:hAnsiTheme="minorHAnsi" w:cs="Arial"/>
        </w:rPr>
        <w:t>equipment fails the P</w:t>
      </w:r>
      <w:r w:rsidR="00F22749">
        <w:rPr>
          <w:rFonts w:asciiTheme="minorHAnsi" w:hAnsiTheme="minorHAnsi" w:cs="Arial"/>
        </w:rPr>
        <w:t xml:space="preserve">ortable </w:t>
      </w:r>
      <w:r w:rsidR="00334A48">
        <w:rPr>
          <w:rFonts w:asciiTheme="minorHAnsi" w:hAnsiTheme="minorHAnsi" w:cs="Arial"/>
        </w:rPr>
        <w:t>A</w:t>
      </w:r>
      <w:r w:rsidR="00F22749">
        <w:rPr>
          <w:rFonts w:asciiTheme="minorHAnsi" w:hAnsiTheme="minorHAnsi" w:cs="Arial"/>
        </w:rPr>
        <w:t xml:space="preserve">ppliance </w:t>
      </w:r>
      <w:r w:rsidR="00334A48">
        <w:rPr>
          <w:rFonts w:asciiTheme="minorHAnsi" w:hAnsiTheme="minorHAnsi" w:cs="Arial"/>
        </w:rPr>
        <w:t>T</w:t>
      </w:r>
      <w:r w:rsidR="00F22749">
        <w:rPr>
          <w:rFonts w:asciiTheme="minorHAnsi" w:hAnsiTheme="minorHAnsi" w:cs="Arial"/>
        </w:rPr>
        <w:t>est</w:t>
      </w:r>
      <w:r w:rsidR="00334A48">
        <w:rPr>
          <w:rFonts w:asciiTheme="minorHAnsi" w:hAnsiTheme="minorHAnsi" w:cs="Arial"/>
        </w:rPr>
        <w:t xml:space="preserve">, the </w:t>
      </w:r>
      <w:r w:rsidR="002543D8">
        <w:rPr>
          <w:rFonts w:asciiTheme="minorHAnsi" w:hAnsiTheme="minorHAnsi" w:cs="Arial"/>
        </w:rPr>
        <w:t>resident</w:t>
      </w:r>
      <w:r w:rsidR="00334A48">
        <w:rPr>
          <w:rFonts w:asciiTheme="minorHAnsi" w:hAnsiTheme="minorHAnsi" w:cs="Arial"/>
        </w:rPr>
        <w:t xml:space="preserve"> is responsible to repair or replace the damaged item before it can be stored or used within a Housing 21 building.</w:t>
      </w:r>
    </w:p>
    <w:p w14:paraId="408DE4A1" w14:textId="77777777" w:rsidR="00AF5B1D" w:rsidRPr="001C0159" w:rsidRDefault="00AF5B1D" w:rsidP="007A298B">
      <w:pPr>
        <w:pStyle w:val="ListParagraph"/>
        <w:numPr>
          <w:ilvl w:val="0"/>
          <w:numId w:val="9"/>
        </w:numPr>
        <w:spacing w:after="0"/>
        <w:ind w:hanging="720"/>
        <w:rPr>
          <w:rFonts w:asciiTheme="minorHAnsi" w:hAnsiTheme="minorHAnsi" w:cs="Arial"/>
        </w:rPr>
      </w:pPr>
      <w:r w:rsidRPr="001C0159">
        <w:rPr>
          <w:rFonts w:asciiTheme="minorHAnsi" w:hAnsiTheme="minorHAnsi" w:cs="Arial"/>
        </w:rPr>
        <w:t>No charging should occur on a means of escape</w:t>
      </w:r>
      <w:r>
        <w:rPr>
          <w:rFonts w:asciiTheme="minorHAnsi" w:hAnsiTheme="minorHAnsi" w:cs="Arial"/>
        </w:rPr>
        <w:t xml:space="preserve"> i.e. communal corridor</w:t>
      </w:r>
      <w:r w:rsidRPr="001C0159">
        <w:rPr>
          <w:rFonts w:asciiTheme="minorHAnsi" w:hAnsiTheme="minorHAnsi" w:cs="Arial"/>
        </w:rPr>
        <w:t>.</w:t>
      </w:r>
    </w:p>
    <w:p w14:paraId="686C644F" w14:textId="1D03A1EC" w:rsidR="00AD5891" w:rsidRDefault="00AD5891" w:rsidP="007A298B">
      <w:pPr>
        <w:shd w:val="clear" w:color="auto" w:fill="FFFFFF" w:themeFill="background1"/>
        <w:spacing w:after="0"/>
        <w:rPr>
          <w:rFonts w:eastAsiaTheme="minorHAnsi" w:cs="Calibri"/>
          <w:b/>
          <w:bCs/>
        </w:rPr>
      </w:pPr>
      <w:r>
        <w:rPr>
          <w:rFonts w:eastAsiaTheme="minorHAnsi" w:cs="Calibri"/>
          <w:b/>
          <w:bCs/>
        </w:rPr>
        <w:br w:type="page"/>
      </w:r>
    </w:p>
    <w:p w14:paraId="562120C0" w14:textId="1C70BA10" w:rsidR="00311F9D" w:rsidRDefault="00311F9D" w:rsidP="002852FC">
      <w:pPr>
        <w:shd w:val="clear" w:color="auto" w:fill="D9E2F3" w:themeFill="accent1" w:themeFillTint="33"/>
        <w:spacing w:after="0"/>
        <w:rPr>
          <w:rFonts w:eastAsiaTheme="minorHAnsi" w:cs="Calibri"/>
          <w:b/>
          <w:bCs/>
        </w:rPr>
      </w:pPr>
      <w:r>
        <w:rPr>
          <w:rFonts w:eastAsiaTheme="minorHAnsi" w:cs="Calibri"/>
          <w:b/>
          <w:bCs/>
        </w:rPr>
        <w:lastRenderedPageBreak/>
        <w:t xml:space="preserve">Form A: </w:t>
      </w:r>
      <w:r w:rsidR="00235A34">
        <w:rPr>
          <w:rFonts w:eastAsiaTheme="minorHAnsi" w:cs="Calibri"/>
          <w:b/>
          <w:bCs/>
        </w:rPr>
        <w:t xml:space="preserve">Permission Form for use/storage of a </w:t>
      </w:r>
      <w:r w:rsidR="00BC7EC3">
        <w:rPr>
          <w:rFonts w:eastAsiaTheme="minorHAnsi" w:cs="Calibri"/>
          <w:b/>
          <w:bCs/>
        </w:rPr>
        <w:t>mobility vehicle</w:t>
      </w:r>
      <w:r w:rsidR="00235A34">
        <w:rPr>
          <w:rFonts w:eastAsiaTheme="minorHAnsi" w:cs="Calibri"/>
          <w:b/>
          <w:bCs/>
        </w:rPr>
        <w:t xml:space="preserve"> on court </w:t>
      </w:r>
    </w:p>
    <w:p w14:paraId="67CC867E" w14:textId="77777777" w:rsidR="0038700C" w:rsidRDefault="0038700C" w:rsidP="007A298B">
      <w:pPr>
        <w:rPr>
          <w:rFonts w:asciiTheme="minorHAnsi" w:hAnsiTheme="minorHAnsi" w:cs="Arial"/>
          <w:b/>
          <w:color w:val="002060"/>
          <w:sz w:val="24"/>
          <w:szCs w:val="24"/>
        </w:rPr>
      </w:pPr>
    </w:p>
    <w:p w14:paraId="500DEF0D" w14:textId="1283DD46" w:rsidR="00EF6396" w:rsidRPr="00C968B0" w:rsidRDefault="00EF6396" w:rsidP="007A298B">
      <w:pPr>
        <w:rPr>
          <w:rFonts w:asciiTheme="minorHAnsi" w:hAnsiTheme="minorHAnsi" w:cs="Arial"/>
          <w:b/>
          <w:color w:val="002060"/>
          <w:sz w:val="24"/>
          <w:szCs w:val="24"/>
        </w:rPr>
      </w:pPr>
      <w:r w:rsidRPr="00C968B0">
        <w:rPr>
          <w:rFonts w:asciiTheme="minorHAnsi" w:hAnsiTheme="minorHAnsi" w:cs="Arial"/>
          <w:b/>
          <w:color w:val="002060"/>
          <w:sz w:val="24"/>
          <w:szCs w:val="24"/>
        </w:rPr>
        <w:t xml:space="preserve">PERMISSION FORM FOR USE/STORAGE OF </w:t>
      </w:r>
      <w:r w:rsidR="00BC7EC3" w:rsidRPr="00C968B0">
        <w:rPr>
          <w:rFonts w:asciiTheme="minorHAnsi" w:hAnsiTheme="minorHAnsi" w:cs="Arial"/>
          <w:b/>
          <w:color w:val="002060"/>
          <w:sz w:val="24"/>
          <w:szCs w:val="24"/>
        </w:rPr>
        <w:t>MOBILITY VEHICLE</w:t>
      </w:r>
      <w:r w:rsidRPr="00C968B0">
        <w:rPr>
          <w:rFonts w:asciiTheme="minorHAnsi" w:hAnsiTheme="minorHAnsi" w:cs="Arial"/>
          <w:b/>
          <w:color w:val="002060"/>
          <w:sz w:val="24"/>
          <w:szCs w:val="24"/>
        </w:rPr>
        <w:t xml:space="preserve"> ON COURT</w:t>
      </w:r>
    </w:p>
    <w:p w14:paraId="419892E6" w14:textId="4059F8DF" w:rsidR="00EF6396" w:rsidRPr="00DB229E" w:rsidRDefault="00EF6396" w:rsidP="007A298B">
      <w:pPr>
        <w:pStyle w:val="Body"/>
        <w:spacing w:line="276" w:lineRule="auto"/>
        <w:rPr>
          <w:rFonts w:asciiTheme="minorHAnsi" w:hAnsiTheme="minorHAnsi" w:cstheme="minorHAnsi"/>
        </w:rPr>
      </w:pPr>
      <w:r>
        <w:rPr>
          <w:rFonts w:asciiTheme="minorHAnsi" w:hAnsiTheme="minorHAnsi" w:cstheme="minorHAnsi"/>
        </w:rPr>
        <w:t xml:space="preserve">If you need to </w:t>
      </w:r>
      <w:r w:rsidR="0084721F">
        <w:rPr>
          <w:rFonts w:asciiTheme="minorHAnsi" w:hAnsiTheme="minorHAnsi" w:cstheme="minorHAnsi"/>
        </w:rPr>
        <w:t>store,</w:t>
      </w:r>
      <w:r>
        <w:rPr>
          <w:rFonts w:asciiTheme="minorHAnsi" w:hAnsiTheme="minorHAnsi" w:cstheme="minorHAnsi"/>
        </w:rPr>
        <w:t xml:space="preserve"> or charge a </w:t>
      </w:r>
      <w:r w:rsidR="00BC7EC3">
        <w:rPr>
          <w:rFonts w:asciiTheme="minorHAnsi" w:hAnsiTheme="minorHAnsi" w:cstheme="minorHAnsi"/>
        </w:rPr>
        <w:t>mobility vehicle</w:t>
      </w:r>
      <w:r>
        <w:rPr>
          <w:rFonts w:asciiTheme="minorHAnsi" w:hAnsiTheme="minorHAnsi" w:cstheme="minorHAnsi"/>
        </w:rPr>
        <w:t xml:space="preserve"> on property owned by Housing 21 you must request permission from the </w:t>
      </w:r>
      <w:r w:rsidR="00615968">
        <w:rPr>
          <w:rFonts w:asciiTheme="minorHAnsi" w:hAnsiTheme="minorHAnsi" w:cstheme="minorHAnsi"/>
        </w:rPr>
        <w:t xml:space="preserve">Housing </w:t>
      </w:r>
      <w:r>
        <w:rPr>
          <w:rFonts w:asciiTheme="minorHAnsi" w:hAnsiTheme="minorHAnsi" w:cstheme="minorHAnsi"/>
        </w:rPr>
        <w:t>Manager and agree to the following conditions:</w:t>
      </w:r>
    </w:p>
    <w:p w14:paraId="15485ED8" w14:textId="77777777" w:rsidR="00EF6396" w:rsidRPr="001C0159" w:rsidRDefault="00EF6396" w:rsidP="007A298B">
      <w:pPr>
        <w:pStyle w:val="Body"/>
        <w:spacing w:line="276" w:lineRule="auto"/>
      </w:pPr>
    </w:p>
    <w:tbl>
      <w:tblPr>
        <w:tblW w:w="974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01"/>
        <w:gridCol w:w="3828"/>
        <w:gridCol w:w="41"/>
        <w:gridCol w:w="1093"/>
        <w:gridCol w:w="2551"/>
        <w:gridCol w:w="529"/>
      </w:tblGrid>
      <w:tr w:rsidR="00EF6396" w:rsidRPr="001C0159" w14:paraId="711FE724" w14:textId="77777777" w:rsidTr="006831B8">
        <w:trPr>
          <w:trHeight w:val="279"/>
          <w:tblHeader/>
        </w:trPr>
        <w:tc>
          <w:tcPr>
            <w:tcW w:w="9743" w:type="dxa"/>
            <w:gridSpan w:val="6"/>
            <w:tcBorders>
              <w:top w:val="single" w:sz="2" w:space="0" w:color="000000"/>
              <w:left w:val="single" w:sz="2" w:space="0" w:color="000000"/>
              <w:bottom w:val="single" w:sz="4" w:space="0" w:color="000000"/>
              <w:right w:val="single" w:sz="2" w:space="0" w:color="000000"/>
            </w:tcBorders>
            <w:shd w:val="clear" w:color="auto" w:fill="D9D9D9" w:themeFill="background1" w:themeFillShade="D9"/>
            <w:tcMar>
              <w:top w:w="80" w:type="dxa"/>
              <w:left w:w="80" w:type="dxa"/>
              <w:bottom w:w="80" w:type="dxa"/>
              <w:right w:w="80" w:type="dxa"/>
            </w:tcMar>
          </w:tcPr>
          <w:p w14:paraId="146B3D6B" w14:textId="4C16271C" w:rsidR="00EF6396" w:rsidRPr="00842F44" w:rsidRDefault="00BC7EC3" w:rsidP="007A298B">
            <w:pPr>
              <w:pStyle w:val="TableStyle1"/>
              <w:shd w:val="clear" w:color="auto" w:fill="D9D9D9" w:themeFill="background1" w:themeFillShade="D9"/>
              <w:spacing w:line="276" w:lineRule="auto"/>
              <w:rPr>
                <w:rFonts w:asciiTheme="minorHAnsi" w:hAnsiTheme="minorHAnsi" w:cstheme="minorHAnsi"/>
                <w:sz w:val="22"/>
                <w:szCs w:val="22"/>
              </w:rPr>
            </w:pPr>
            <w:r>
              <w:rPr>
                <w:rFonts w:asciiTheme="minorHAnsi" w:hAnsiTheme="minorHAnsi" w:cstheme="minorHAnsi"/>
                <w:sz w:val="22"/>
                <w:szCs w:val="22"/>
              </w:rPr>
              <w:t>Mobility vehicle</w:t>
            </w:r>
            <w:r w:rsidR="00EF6396" w:rsidRPr="00842F44">
              <w:rPr>
                <w:rFonts w:asciiTheme="minorHAnsi" w:hAnsiTheme="minorHAnsi" w:cstheme="minorHAnsi"/>
                <w:sz w:val="22"/>
                <w:szCs w:val="22"/>
              </w:rPr>
              <w:t xml:space="preserve"> Request Form</w:t>
            </w:r>
          </w:p>
        </w:tc>
      </w:tr>
      <w:tr w:rsidR="00EF6396" w:rsidRPr="001C0159" w14:paraId="7A828305" w14:textId="77777777" w:rsidTr="0014007F">
        <w:tblPrEx>
          <w:shd w:val="clear" w:color="auto" w:fill="auto"/>
        </w:tblPrEx>
        <w:trPr>
          <w:trHeight w:val="294"/>
        </w:trPr>
        <w:tc>
          <w:tcPr>
            <w:tcW w:w="1701" w:type="dxa"/>
            <w:tcBorders>
              <w:top w:val="single" w:sz="4"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6FF355E6" w14:textId="77777777" w:rsidR="00EF6396" w:rsidRPr="00842F44" w:rsidRDefault="00EF6396" w:rsidP="007A298B">
            <w:pPr>
              <w:pStyle w:val="TableStyle1"/>
              <w:spacing w:line="276" w:lineRule="auto"/>
              <w:rPr>
                <w:rFonts w:asciiTheme="minorHAnsi" w:hAnsiTheme="minorHAnsi" w:cstheme="minorHAnsi"/>
                <w:sz w:val="22"/>
                <w:szCs w:val="22"/>
              </w:rPr>
            </w:pPr>
            <w:r w:rsidRPr="00842F44">
              <w:rPr>
                <w:rFonts w:asciiTheme="minorHAnsi" w:hAnsiTheme="minorHAnsi" w:cstheme="minorHAnsi"/>
                <w:sz w:val="22"/>
                <w:szCs w:val="22"/>
              </w:rPr>
              <w:t>Name</w:t>
            </w:r>
          </w:p>
        </w:tc>
        <w:tc>
          <w:tcPr>
            <w:tcW w:w="8042" w:type="dxa"/>
            <w:gridSpan w:val="5"/>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5334247" w14:textId="77777777" w:rsidR="00EF6396" w:rsidRPr="00842F44" w:rsidRDefault="00EF6396" w:rsidP="007A298B">
            <w:pPr>
              <w:spacing w:after="0"/>
              <w:rPr>
                <w:rFonts w:asciiTheme="minorHAnsi" w:hAnsiTheme="minorHAnsi" w:cstheme="minorHAnsi"/>
              </w:rPr>
            </w:pPr>
          </w:p>
        </w:tc>
      </w:tr>
      <w:tr w:rsidR="00EF6396" w:rsidRPr="001C0159" w14:paraId="500B8066" w14:textId="77777777" w:rsidTr="0014007F">
        <w:tblPrEx>
          <w:shd w:val="clear" w:color="auto" w:fill="auto"/>
        </w:tblPrEx>
        <w:trPr>
          <w:trHeight w:val="255"/>
        </w:trPr>
        <w:tc>
          <w:tcPr>
            <w:tcW w:w="1701"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7BE93FDD" w14:textId="77777777" w:rsidR="00EF6396" w:rsidRPr="00842F44" w:rsidRDefault="00EF6396" w:rsidP="007A298B">
            <w:pPr>
              <w:pStyle w:val="TableStyle1"/>
              <w:spacing w:line="276" w:lineRule="auto"/>
              <w:rPr>
                <w:rFonts w:asciiTheme="minorHAnsi" w:hAnsiTheme="minorHAnsi" w:cstheme="minorHAnsi"/>
                <w:sz w:val="22"/>
                <w:szCs w:val="22"/>
              </w:rPr>
            </w:pPr>
            <w:r w:rsidRPr="00842F44">
              <w:rPr>
                <w:rFonts w:asciiTheme="minorHAnsi" w:hAnsiTheme="minorHAnsi" w:cstheme="minorHAnsi"/>
                <w:sz w:val="22"/>
                <w:szCs w:val="22"/>
              </w:rPr>
              <w:t>Address</w:t>
            </w:r>
          </w:p>
        </w:tc>
        <w:tc>
          <w:tcPr>
            <w:tcW w:w="8042" w:type="dxa"/>
            <w:gridSpan w:val="5"/>
            <w:tcBorders>
              <w:top w:val="single" w:sz="2" w:space="0" w:color="000000"/>
              <w:left w:val="single" w:sz="4"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3E43F49A" w14:textId="77777777" w:rsidR="00EF6396" w:rsidRPr="00842F44" w:rsidRDefault="00EF6396" w:rsidP="007A298B">
            <w:pPr>
              <w:spacing w:after="0"/>
              <w:rPr>
                <w:rFonts w:asciiTheme="minorHAnsi" w:hAnsiTheme="minorHAnsi" w:cstheme="minorHAnsi"/>
              </w:rPr>
            </w:pPr>
          </w:p>
        </w:tc>
      </w:tr>
      <w:tr w:rsidR="00EF6396" w:rsidRPr="001C0159" w14:paraId="7A12E5CA" w14:textId="77777777" w:rsidTr="0014007F">
        <w:tblPrEx>
          <w:shd w:val="clear" w:color="auto" w:fill="auto"/>
        </w:tblPrEx>
        <w:trPr>
          <w:trHeight w:val="315"/>
        </w:trPr>
        <w:tc>
          <w:tcPr>
            <w:tcW w:w="1701"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6449BBB1" w14:textId="04C38AC0" w:rsidR="00EF6396" w:rsidRPr="00842F44" w:rsidRDefault="00EF6396" w:rsidP="007A298B">
            <w:pPr>
              <w:pStyle w:val="TableStyle1"/>
              <w:spacing w:line="276" w:lineRule="auto"/>
              <w:rPr>
                <w:rFonts w:asciiTheme="minorHAnsi" w:hAnsiTheme="minorHAnsi" w:cstheme="minorHAnsi"/>
                <w:sz w:val="22"/>
                <w:szCs w:val="22"/>
              </w:rPr>
            </w:pPr>
            <w:r w:rsidRPr="00842F44">
              <w:rPr>
                <w:rFonts w:asciiTheme="minorHAnsi" w:hAnsiTheme="minorHAnsi" w:cstheme="minorHAnsi"/>
                <w:sz w:val="22"/>
                <w:szCs w:val="22"/>
              </w:rPr>
              <w:t>Make</w:t>
            </w:r>
            <w:r w:rsidR="0014007F">
              <w:rPr>
                <w:rFonts w:asciiTheme="minorHAnsi" w:hAnsiTheme="minorHAnsi" w:cstheme="minorHAnsi"/>
                <w:sz w:val="22"/>
                <w:szCs w:val="22"/>
              </w:rPr>
              <w:t xml:space="preserve"> of mobility vehicle</w:t>
            </w:r>
          </w:p>
        </w:tc>
        <w:tc>
          <w:tcPr>
            <w:tcW w:w="382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BB2720E" w14:textId="77777777" w:rsidR="00EF6396" w:rsidRPr="00842F44" w:rsidRDefault="00EF6396" w:rsidP="007A298B">
            <w:pPr>
              <w:spacing w:after="0"/>
              <w:rPr>
                <w:rFonts w:asciiTheme="minorHAnsi" w:hAnsiTheme="minorHAnsi" w:cstheme="minorHAnsi"/>
              </w:rPr>
            </w:pPr>
          </w:p>
        </w:tc>
        <w:tc>
          <w:tcPr>
            <w:tcW w:w="1134" w:type="dxa"/>
            <w:gridSpan w:val="2"/>
            <w:tcBorders>
              <w:top w:val="single" w:sz="2" w:space="0" w:color="000000"/>
              <w:left w:val="single" w:sz="4" w:space="0" w:color="000000"/>
              <w:bottom w:val="single" w:sz="2" w:space="0" w:color="000000"/>
              <w:right w:val="single" w:sz="2" w:space="0" w:color="000000"/>
            </w:tcBorders>
            <w:shd w:val="clear" w:color="auto" w:fill="F2F2F2" w:themeFill="background1" w:themeFillShade="F2"/>
          </w:tcPr>
          <w:p w14:paraId="07CE6D7D" w14:textId="5710AB12" w:rsidR="00EF6396" w:rsidRPr="00A6025C" w:rsidRDefault="00EF6396" w:rsidP="007A298B">
            <w:pPr>
              <w:spacing w:after="0"/>
              <w:rPr>
                <w:rFonts w:asciiTheme="minorHAnsi" w:hAnsiTheme="minorHAnsi" w:cstheme="minorHAnsi"/>
                <w:b/>
              </w:rPr>
            </w:pPr>
            <w:r w:rsidRPr="00A6025C">
              <w:rPr>
                <w:rFonts w:asciiTheme="minorHAnsi" w:hAnsiTheme="minorHAnsi" w:cstheme="minorHAnsi"/>
                <w:b/>
              </w:rPr>
              <w:t>Model</w:t>
            </w:r>
          </w:p>
        </w:tc>
        <w:tc>
          <w:tcPr>
            <w:tcW w:w="3080" w:type="dxa"/>
            <w:gridSpan w:val="2"/>
            <w:tcBorders>
              <w:top w:val="single" w:sz="2" w:space="0" w:color="000000"/>
              <w:left w:val="single" w:sz="4" w:space="0" w:color="000000"/>
              <w:bottom w:val="single" w:sz="2" w:space="0" w:color="000000"/>
              <w:right w:val="single" w:sz="2" w:space="0" w:color="000000"/>
            </w:tcBorders>
            <w:shd w:val="clear" w:color="auto" w:fill="auto"/>
          </w:tcPr>
          <w:p w14:paraId="154B0531" w14:textId="77777777" w:rsidR="00EF6396" w:rsidRPr="00842F44" w:rsidRDefault="00EF6396" w:rsidP="007A298B">
            <w:pPr>
              <w:spacing w:after="0"/>
              <w:rPr>
                <w:rFonts w:asciiTheme="minorHAnsi" w:hAnsiTheme="minorHAnsi" w:cstheme="minorHAnsi"/>
              </w:rPr>
            </w:pPr>
          </w:p>
        </w:tc>
      </w:tr>
      <w:tr w:rsidR="00EF6396" w:rsidRPr="001C0159" w14:paraId="7A06AA9B" w14:textId="77777777" w:rsidTr="006831B8">
        <w:tblPrEx>
          <w:shd w:val="clear" w:color="auto" w:fill="auto"/>
        </w:tblPrEx>
        <w:trPr>
          <w:trHeight w:val="265"/>
        </w:trPr>
        <w:tc>
          <w:tcPr>
            <w:tcW w:w="9214" w:type="dxa"/>
            <w:gridSpan w:val="5"/>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14:paraId="4206710A" w14:textId="77777777" w:rsidR="00EF6396" w:rsidRPr="00A6025C" w:rsidRDefault="00EF6396" w:rsidP="007A298B">
            <w:pPr>
              <w:spacing w:after="0"/>
              <w:rPr>
                <w:rFonts w:asciiTheme="minorHAnsi" w:hAnsiTheme="minorHAnsi" w:cstheme="minorHAnsi"/>
                <w:b/>
              </w:rPr>
            </w:pPr>
            <w:r w:rsidRPr="00A6025C">
              <w:rPr>
                <w:rFonts w:asciiTheme="minorHAnsi" w:hAnsiTheme="minorHAnsi" w:cstheme="minorHAnsi"/>
                <w:b/>
              </w:rPr>
              <w:t>Type of scooter</w:t>
            </w:r>
          </w:p>
        </w:tc>
        <w:tc>
          <w:tcPr>
            <w:tcW w:w="529" w:type="dxa"/>
            <w:tcBorders>
              <w:top w:val="single" w:sz="2" w:space="0" w:color="000000"/>
              <w:left w:val="single" w:sz="4" w:space="0" w:color="000000"/>
              <w:bottom w:val="single" w:sz="2" w:space="0" w:color="000000"/>
              <w:right w:val="single" w:sz="2" w:space="0" w:color="000000"/>
            </w:tcBorders>
            <w:shd w:val="clear" w:color="auto" w:fill="FFFFFF" w:themeFill="background1"/>
          </w:tcPr>
          <w:p w14:paraId="0C2B73D0" w14:textId="77777777" w:rsidR="00EF6396" w:rsidRPr="00A6025C" w:rsidRDefault="00EF6396" w:rsidP="007A298B">
            <w:pPr>
              <w:spacing w:after="0"/>
              <w:rPr>
                <w:rFonts w:asciiTheme="minorHAnsi" w:hAnsiTheme="minorHAnsi" w:cstheme="minorHAnsi"/>
                <w:b/>
              </w:rPr>
            </w:pPr>
            <w:r>
              <w:rPr>
                <w:rFonts w:asciiTheme="minorHAnsi" w:hAnsiTheme="minorHAnsi" w:cstheme="minorHAnsi"/>
                <w:b/>
                <w:noProof/>
                <w:lang w:eastAsia="en-GB"/>
              </w:rPr>
              <w:drawing>
                <wp:inline distT="0" distB="0" distL="0" distR="0" wp14:anchorId="19A2E0D2" wp14:editId="189798F4">
                  <wp:extent cx="171450" cy="171450"/>
                  <wp:effectExtent l="0" t="0" r="0" b="0"/>
                  <wp:docPr id="2" name="Picture 2" descr="C:\Users\wheelera\AppData\Local\Microsoft\Windows\INetCache\Content.MSO\54A0CB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heelera\AppData\Local\Microsoft\Windows\INetCache\Content.MSO\54A0CB96.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F6396" w:rsidRPr="001C0159" w14:paraId="256C7E22" w14:textId="77777777" w:rsidTr="0014007F">
        <w:tblPrEx>
          <w:shd w:val="clear" w:color="auto" w:fill="auto"/>
        </w:tblPrEx>
        <w:trPr>
          <w:trHeight w:val="323"/>
        </w:trPr>
        <w:tc>
          <w:tcPr>
            <w:tcW w:w="1701"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6CCBF76A" w14:textId="77777777" w:rsidR="00EF6396" w:rsidRDefault="00EF6396" w:rsidP="007A298B">
            <w:pPr>
              <w:pStyle w:val="TableStyle1"/>
              <w:spacing w:line="276" w:lineRule="auto"/>
              <w:rPr>
                <w:rFonts w:asciiTheme="minorHAnsi" w:hAnsiTheme="minorHAnsi" w:cstheme="minorHAnsi"/>
                <w:sz w:val="22"/>
                <w:szCs w:val="22"/>
              </w:rPr>
            </w:pPr>
            <w:r>
              <w:rPr>
                <w:rFonts w:asciiTheme="minorHAnsi" w:hAnsiTheme="minorHAnsi" w:cstheme="minorHAnsi"/>
                <w:sz w:val="22"/>
                <w:szCs w:val="22"/>
              </w:rPr>
              <w:t>Class 1</w:t>
            </w:r>
          </w:p>
        </w:tc>
        <w:tc>
          <w:tcPr>
            <w:tcW w:w="7513"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7DF8821" w14:textId="77777777" w:rsidR="00EF6396" w:rsidRPr="006B7EEE" w:rsidRDefault="00EF6396" w:rsidP="007A298B">
            <w:pPr>
              <w:spacing w:after="0"/>
              <w:rPr>
                <w:rFonts w:asciiTheme="minorHAnsi" w:hAnsiTheme="minorHAnsi" w:cstheme="minorHAnsi"/>
              </w:rPr>
            </w:pPr>
            <w:r w:rsidRPr="006B7EEE">
              <w:rPr>
                <w:rFonts w:asciiTheme="minorHAnsi" w:hAnsiTheme="minorHAnsi" w:cstheme="minorHAnsi"/>
              </w:rPr>
              <w:t>Lightweight manual wheelchair. You do not need permission for this type of chair.</w:t>
            </w:r>
          </w:p>
        </w:tc>
        <w:tc>
          <w:tcPr>
            <w:tcW w:w="529" w:type="dxa"/>
            <w:tcBorders>
              <w:top w:val="single" w:sz="2" w:space="0" w:color="000000"/>
              <w:left w:val="single" w:sz="4" w:space="0" w:color="000000"/>
              <w:bottom w:val="single" w:sz="2" w:space="0" w:color="000000"/>
              <w:right w:val="single" w:sz="2" w:space="0" w:color="000000"/>
            </w:tcBorders>
            <w:shd w:val="clear" w:color="auto" w:fill="FFFFFF" w:themeFill="background1"/>
          </w:tcPr>
          <w:p w14:paraId="0576461D" w14:textId="77777777" w:rsidR="00EF6396" w:rsidRDefault="00EF6396" w:rsidP="007A298B">
            <w:pPr>
              <w:spacing w:after="0"/>
              <w:rPr>
                <w:rFonts w:asciiTheme="minorHAnsi" w:hAnsiTheme="minorHAnsi" w:cstheme="minorHAnsi"/>
              </w:rPr>
            </w:pPr>
          </w:p>
        </w:tc>
      </w:tr>
      <w:tr w:rsidR="00EF6396" w:rsidRPr="001C0159" w14:paraId="49696571" w14:textId="77777777" w:rsidTr="0014007F">
        <w:tblPrEx>
          <w:shd w:val="clear" w:color="auto" w:fill="auto"/>
        </w:tblPrEx>
        <w:trPr>
          <w:trHeight w:val="850"/>
        </w:trPr>
        <w:tc>
          <w:tcPr>
            <w:tcW w:w="1701"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4E2FAFA6" w14:textId="77777777" w:rsidR="00EF6396" w:rsidRDefault="00EF6396" w:rsidP="007A298B">
            <w:pPr>
              <w:pStyle w:val="TableStyle1"/>
              <w:spacing w:line="276" w:lineRule="auto"/>
              <w:rPr>
                <w:rFonts w:asciiTheme="minorHAnsi" w:hAnsiTheme="minorHAnsi" w:cstheme="minorHAnsi"/>
                <w:sz w:val="22"/>
                <w:szCs w:val="22"/>
              </w:rPr>
            </w:pPr>
            <w:r>
              <w:rPr>
                <w:rFonts w:asciiTheme="minorHAnsi" w:hAnsiTheme="minorHAnsi" w:cstheme="minorHAnsi"/>
                <w:sz w:val="22"/>
                <w:szCs w:val="22"/>
              </w:rPr>
              <w:t>Class 2</w:t>
            </w:r>
          </w:p>
        </w:tc>
        <w:tc>
          <w:tcPr>
            <w:tcW w:w="7513"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6725038" w14:textId="77777777" w:rsidR="00EF6396" w:rsidRPr="006B7EEE" w:rsidRDefault="00EF6396" w:rsidP="007A298B">
            <w:pPr>
              <w:spacing w:after="0"/>
              <w:rPr>
                <w:rFonts w:asciiTheme="minorHAnsi" w:hAnsiTheme="minorHAnsi" w:cstheme="minorHAnsi"/>
              </w:rPr>
            </w:pPr>
            <w:r w:rsidRPr="006B7EEE">
              <w:rPr>
                <w:rFonts w:asciiTheme="minorHAnsi" w:hAnsiTheme="minorHAnsi" w:cstheme="minorHAnsi"/>
              </w:rPr>
              <w:t>Motorised wheelchairs, designed for use on the pavement up to 4mph.  They may also be used on the road to cross from one pavement to another or where no pavement is available.</w:t>
            </w:r>
          </w:p>
        </w:tc>
        <w:tc>
          <w:tcPr>
            <w:tcW w:w="529" w:type="dxa"/>
            <w:tcBorders>
              <w:top w:val="single" w:sz="2" w:space="0" w:color="000000"/>
              <w:left w:val="single" w:sz="4" w:space="0" w:color="000000"/>
              <w:bottom w:val="single" w:sz="2" w:space="0" w:color="000000"/>
              <w:right w:val="single" w:sz="2" w:space="0" w:color="000000"/>
            </w:tcBorders>
            <w:shd w:val="clear" w:color="auto" w:fill="FFFFFF" w:themeFill="background1"/>
          </w:tcPr>
          <w:p w14:paraId="3A7C30D0" w14:textId="77777777" w:rsidR="00EF6396" w:rsidRDefault="00EF6396" w:rsidP="007A298B">
            <w:pPr>
              <w:spacing w:after="0"/>
              <w:rPr>
                <w:rFonts w:asciiTheme="minorHAnsi" w:hAnsiTheme="minorHAnsi" w:cstheme="minorHAnsi"/>
              </w:rPr>
            </w:pPr>
          </w:p>
        </w:tc>
      </w:tr>
      <w:tr w:rsidR="00EF6396" w:rsidRPr="001C0159" w14:paraId="02366732" w14:textId="77777777" w:rsidTr="0014007F">
        <w:tblPrEx>
          <w:shd w:val="clear" w:color="auto" w:fill="auto"/>
        </w:tblPrEx>
        <w:trPr>
          <w:trHeight w:val="478"/>
        </w:trPr>
        <w:tc>
          <w:tcPr>
            <w:tcW w:w="1701" w:type="dxa"/>
            <w:tcBorders>
              <w:top w:val="single" w:sz="2" w:space="0" w:color="000000"/>
              <w:left w:val="single" w:sz="2" w:space="0" w:color="000000"/>
              <w:bottom w:val="single" w:sz="2" w:space="0" w:color="000000"/>
              <w:right w:val="single" w:sz="4" w:space="0" w:color="000000"/>
            </w:tcBorders>
            <w:shd w:val="clear" w:color="auto" w:fill="F2F2F2" w:themeFill="background1" w:themeFillShade="F2"/>
            <w:tcMar>
              <w:top w:w="80" w:type="dxa"/>
              <w:left w:w="80" w:type="dxa"/>
              <w:bottom w:w="80" w:type="dxa"/>
              <w:right w:w="80" w:type="dxa"/>
            </w:tcMar>
          </w:tcPr>
          <w:p w14:paraId="6B657DA2" w14:textId="77777777" w:rsidR="00EF6396" w:rsidRDefault="00EF6396" w:rsidP="007A298B">
            <w:pPr>
              <w:pStyle w:val="TableStyle1"/>
              <w:spacing w:line="276" w:lineRule="auto"/>
              <w:rPr>
                <w:rFonts w:asciiTheme="minorHAnsi" w:hAnsiTheme="minorHAnsi" w:cstheme="minorHAnsi"/>
                <w:sz w:val="22"/>
                <w:szCs w:val="22"/>
              </w:rPr>
            </w:pPr>
            <w:r>
              <w:rPr>
                <w:rFonts w:asciiTheme="minorHAnsi" w:hAnsiTheme="minorHAnsi" w:cstheme="minorHAnsi"/>
                <w:sz w:val="22"/>
                <w:szCs w:val="22"/>
              </w:rPr>
              <w:t>Class 3</w:t>
            </w:r>
          </w:p>
        </w:tc>
        <w:tc>
          <w:tcPr>
            <w:tcW w:w="7513" w:type="dxa"/>
            <w:gridSpan w:val="4"/>
            <w:tcBorders>
              <w:top w:val="single" w:sz="2" w:space="0" w:color="000000"/>
              <w:left w:val="single" w:sz="4"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F91AB09" w14:textId="77777777" w:rsidR="00EF6396" w:rsidRPr="006B7EEE" w:rsidRDefault="00EF6396" w:rsidP="007A298B">
            <w:pPr>
              <w:spacing w:after="0"/>
              <w:rPr>
                <w:rFonts w:asciiTheme="minorHAnsi" w:hAnsiTheme="minorHAnsi" w:cstheme="minorHAnsi"/>
              </w:rPr>
            </w:pPr>
            <w:r w:rsidRPr="006B7EEE">
              <w:rPr>
                <w:rFonts w:asciiTheme="minorHAnsi" w:hAnsiTheme="minorHAnsi" w:cstheme="minorHAnsi"/>
              </w:rPr>
              <w:t>Machines used both on the pavement where, like Class 2 vehicles they are limited to 4mph, and on the road where they can travel up to 8mph.</w:t>
            </w:r>
          </w:p>
        </w:tc>
        <w:tc>
          <w:tcPr>
            <w:tcW w:w="529" w:type="dxa"/>
            <w:tcBorders>
              <w:top w:val="single" w:sz="2" w:space="0" w:color="000000"/>
              <w:left w:val="single" w:sz="4" w:space="0" w:color="000000"/>
              <w:bottom w:val="single" w:sz="2" w:space="0" w:color="000000"/>
              <w:right w:val="single" w:sz="2" w:space="0" w:color="000000"/>
            </w:tcBorders>
            <w:shd w:val="clear" w:color="auto" w:fill="FFFFFF" w:themeFill="background1"/>
          </w:tcPr>
          <w:p w14:paraId="025B436D" w14:textId="77777777" w:rsidR="00EF6396" w:rsidRDefault="00EF6396" w:rsidP="007A298B">
            <w:pPr>
              <w:spacing w:after="0"/>
              <w:rPr>
                <w:rFonts w:asciiTheme="minorHAnsi" w:hAnsiTheme="minorHAnsi" w:cstheme="minorHAnsi"/>
              </w:rPr>
            </w:pPr>
          </w:p>
        </w:tc>
      </w:tr>
      <w:tr w:rsidR="00EF6396" w:rsidRPr="001C0159" w14:paraId="2CB9019A" w14:textId="77777777" w:rsidTr="006831B8">
        <w:tblPrEx>
          <w:shd w:val="clear" w:color="auto" w:fill="auto"/>
        </w:tblPrEx>
        <w:trPr>
          <w:trHeight w:val="263"/>
        </w:trPr>
        <w:tc>
          <w:tcPr>
            <w:tcW w:w="9214" w:type="dxa"/>
            <w:gridSpan w:val="5"/>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80" w:type="dxa"/>
              <w:left w:w="80" w:type="dxa"/>
              <w:bottom w:w="80" w:type="dxa"/>
              <w:right w:w="80" w:type="dxa"/>
            </w:tcMar>
          </w:tcPr>
          <w:p w14:paraId="7C219E4A" w14:textId="77777777" w:rsidR="00EF6396" w:rsidRPr="00B256D2" w:rsidRDefault="00EF6396" w:rsidP="007A298B">
            <w:pPr>
              <w:spacing w:after="0"/>
              <w:rPr>
                <w:rFonts w:asciiTheme="minorHAnsi" w:hAnsiTheme="minorHAnsi" w:cstheme="minorHAnsi"/>
                <w:b/>
              </w:rPr>
            </w:pPr>
            <w:r w:rsidRPr="00B256D2">
              <w:rPr>
                <w:rFonts w:asciiTheme="minorHAnsi" w:hAnsiTheme="minorHAnsi" w:cstheme="minorHAnsi"/>
                <w:b/>
              </w:rPr>
              <w:t>I/We agree to the following conditions (please tick all boxes)</w:t>
            </w:r>
          </w:p>
        </w:tc>
        <w:tc>
          <w:tcPr>
            <w:tcW w:w="52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0C26568" w14:textId="77777777" w:rsidR="00EF6396" w:rsidRPr="00842F44" w:rsidRDefault="00EF6396" w:rsidP="007A298B">
            <w:pPr>
              <w:spacing w:after="0"/>
              <w:rPr>
                <w:rFonts w:asciiTheme="minorHAnsi" w:hAnsiTheme="minorHAnsi" w:cstheme="minorHAnsi"/>
              </w:rPr>
            </w:pPr>
            <w:r>
              <w:rPr>
                <w:rFonts w:asciiTheme="minorHAnsi" w:hAnsiTheme="minorHAnsi" w:cstheme="minorHAnsi"/>
                <w:noProof/>
                <w:lang w:eastAsia="en-GB"/>
              </w:rPr>
              <w:drawing>
                <wp:inline distT="0" distB="0" distL="0" distR="0" wp14:anchorId="0AD3991E" wp14:editId="72A5CA85">
                  <wp:extent cx="171450" cy="171450"/>
                  <wp:effectExtent l="0" t="0" r="0" b="0"/>
                  <wp:docPr id="3" name="Picture 3" descr="C:\Users\wheelera\AppData\Local\Microsoft\Windows\INetCache\Content.MSO\38A21D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heelera\AppData\Local\Microsoft\Windows\INetCache\Content.MSO\38A21D05.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F6396" w:rsidRPr="001C0159" w14:paraId="58EA62C2" w14:textId="77777777" w:rsidTr="006831B8">
        <w:tblPrEx>
          <w:shd w:val="clear" w:color="auto" w:fill="auto"/>
        </w:tblPrEx>
        <w:trPr>
          <w:trHeight w:val="406"/>
        </w:trPr>
        <w:tc>
          <w:tcPr>
            <w:tcW w:w="9214" w:type="dxa"/>
            <w:gridSpan w:val="5"/>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07F3AF9" w14:textId="02093147" w:rsidR="00EF6396" w:rsidRPr="00DB229E" w:rsidRDefault="00EF6396" w:rsidP="007A298B">
            <w:pPr>
              <w:pStyle w:val="TableStyle1"/>
              <w:spacing w:line="276" w:lineRule="auto"/>
              <w:rPr>
                <w:rFonts w:asciiTheme="minorHAnsi" w:hAnsiTheme="minorHAnsi" w:cstheme="minorHAnsi"/>
                <w:b w:val="0"/>
                <w:sz w:val="22"/>
                <w:szCs w:val="22"/>
              </w:rPr>
            </w:pPr>
            <w:r>
              <w:rPr>
                <w:rFonts w:asciiTheme="minorHAnsi" w:hAnsiTheme="minorHAnsi" w:cstheme="minorHAnsi"/>
                <w:b w:val="0"/>
                <w:sz w:val="22"/>
                <w:szCs w:val="22"/>
              </w:rPr>
              <w:t xml:space="preserve">If the </w:t>
            </w:r>
            <w:r w:rsidR="009E516E">
              <w:rPr>
                <w:rFonts w:asciiTheme="minorHAnsi" w:hAnsiTheme="minorHAnsi" w:cstheme="minorHAnsi"/>
                <w:b w:val="0"/>
                <w:sz w:val="22"/>
                <w:szCs w:val="22"/>
              </w:rPr>
              <w:t>mobility vehicle</w:t>
            </w:r>
            <w:r>
              <w:rPr>
                <w:rFonts w:asciiTheme="minorHAnsi" w:hAnsiTheme="minorHAnsi" w:cstheme="minorHAnsi"/>
                <w:b w:val="0"/>
                <w:sz w:val="22"/>
                <w:szCs w:val="22"/>
              </w:rPr>
              <w:t xml:space="preserve"> needs to be registered with the Driver and Vehicle Licensing Agency (DVLA), see above, a copy of the registration documents should be submitted with your request.</w:t>
            </w:r>
          </w:p>
        </w:tc>
        <w:tc>
          <w:tcPr>
            <w:tcW w:w="52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3C064DFB" w14:textId="77777777" w:rsidR="00EF6396" w:rsidRPr="00DB229E" w:rsidRDefault="00EF6396" w:rsidP="007A298B">
            <w:pPr>
              <w:pStyle w:val="TableStyle1"/>
              <w:spacing w:line="276" w:lineRule="auto"/>
              <w:rPr>
                <w:rFonts w:asciiTheme="minorHAnsi" w:hAnsiTheme="minorHAnsi" w:cstheme="minorHAnsi"/>
                <w:sz w:val="22"/>
                <w:szCs w:val="22"/>
              </w:rPr>
            </w:pPr>
          </w:p>
        </w:tc>
      </w:tr>
      <w:tr w:rsidR="00EF6396" w:rsidRPr="001C0159" w14:paraId="0F74A7D5" w14:textId="77777777" w:rsidTr="006831B8">
        <w:tblPrEx>
          <w:shd w:val="clear" w:color="auto" w:fill="auto"/>
        </w:tblPrEx>
        <w:trPr>
          <w:trHeight w:val="406"/>
        </w:trPr>
        <w:tc>
          <w:tcPr>
            <w:tcW w:w="9214" w:type="dxa"/>
            <w:gridSpan w:val="5"/>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32DB9EBE" w14:textId="36EB9527" w:rsidR="00EF6396" w:rsidRPr="00DB229E" w:rsidRDefault="00EF6396" w:rsidP="007A298B">
            <w:pPr>
              <w:pStyle w:val="TableStyle1"/>
              <w:shd w:val="clear" w:color="auto" w:fill="FFFFFF" w:themeFill="background1"/>
              <w:spacing w:line="276" w:lineRule="auto"/>
              <w:rPr>
                <w:rFonts w:asciiTheme="minorHAnsi" w:hAnsiTheme="minorHAnsi" w:cstheme="minorHAnsi"/>
                <w:b w:val="0"/>
                <w:sz w:val="22"/>
                <w:szCs w:val="22"/>
              </w:rPr>
            </w:pPr>
            <w:r>
              <w:rPr>
                <w:rFonts w:asciiTheme="minorHAnsi" w:hAnsiTheme="minorHAnsi" w:cstheme="minorHAnsi"/>
                <w:b w:val="0"/>
                <w:sz w:val="22"/>
                <w:szCs w:val="22"/>
              </w:rPr>
              <w:t xml:space="preserve">It </w:t>
            </w:r>
            <w:r w:rsidRPr="001F3DAC">
              <w:rPr>
                <w:rFonts w:asciiTheme="minorHAnsi" w:hAnsiTheme="minorHAnsi" w:cstheme="minorHAnsi"/>
                <w:b w:val="0"/>
                <w:sz w:val="22"/>
                <w:szCs w:val="22"/>
              </w:rPr>
              <w:t xml:space="preserve">is </w:t>
            </w:r>
            <w:r w:rsidR="002A4D4E" w:rsidRPr="001F3DAC">
              <w:rPr>
                <w:rFonts w:asciiTheme="minorHAnsi" w:hAnsiTheme="minorHAnsi" w:cstheme="minorHAnsi"/>
                <w:b w:val="0"/>
                <w:sz w:val="22"/>
                <w:szCs w:val="22"/>
              </w:rPr>
              <w:t>a requirement</w:t>
            </w:r>
            <w:r>
              <w:rPr>
                <w:rFonts w:asciiTheme="minorHAnsi" w:hAnsiTheme="minorHAnsi" w:cstheme="minorHAnsi"/>
                <w:b w:val="0"/>
                <w:sz w:val="22"/>
                <w:szCs w:val="22"/>
              </w:rPr>
              <w:t xml:space="preserve"> that you have</w:t>
            </w:r>
            <w:r w:rsidR="001F3DAC">
              <w:rPr>
                <w:rFonts w:asciiTheme="minorHAnsi" w:hAnsiTheme="minorHAnsi" w:cstheme="minorHAnsi"/>
                <w:b w:val="0"/>
                <w:sz w:val="22"/>
                <w:szCs w:val="22"/>
              </w:rPr>
              <w:t xml:space="preserve">, as a minimum, </w:t>
            </w:r>
            <w:r w:rsidR="00432AC5">
              <w:rPr>
                <w:rFonts w:asciiTheme="minorHAnsi" w:hAnsiTheme="minorHAnsi" w:cstheme="minorHAnsi"/>
                <w:b w:val="0"/>
                <w:sz w:val="22"/>
                <w:szCs w:val="22"/>
              </w:rPr>
              <w:t>third-party</w:t>
            </w:r>
            <w:r w:rsidR="001F3DAC">
              <w:rPr>
                <w:rFonts w:asciiTheme="minorHAnsi" w:hAnsiTheme="minorHAnsi" w:cstheme="minorHAnsi"/>
                <w:b w:val="0"/>
                <w:sz w:val="22"/>
                <w:szCs w:val="22"/>
              </w:rPr>
              <w:t xml:space="preserve"> insurance cover</w:t>
            </w:r>
            <w:r>
              <w:rPr>
                <w:rFonts w:asciiTheme="minorHAnsi" w:hAnsiTheme="minorHAnsi" w:cstheme="minorHAnsi"/>
                <w:b w:val="0"/>
                <w:sz w:val="22"/>
                <w:szCs w:val="22"/>
              </w:rPr>
              <w:t xml:space="preserve"> for your </w:t>
            </w:r>
            <w:r w:rsidR="001F3DAC">
              <w:rPr>
                <w:rFonts w:asciiTheme="minorHAnsi" w:hAnsiTheme="minorHAnsi" w:cstheme="minorHAnsi"/>
                <w:b w:val="0"/>
                <w:sz w:val="22"/>
                <w:szCs w:val="22"/>
              </w:rPr>
              <w:t>mobility vehicle</w:t>
            </w:r>
            <w:r>
              <w:rPr>
                <w:rFonts w:asciiTheme="minorHAnsi" w:hAnsiTheme="minorHAnsi" w:cstheme="minorHAnsi"/>
                <w:b w:val="0"/>
                <w:sz w:val="22"/>
                <w:szCs w:val="22"/>
              </w:rPr>
              <w:t xml:space="preserve"> as you will be responsible for any accidental damage to the building or personal injury caused to another person.</w:t>
            </w:r>
          </w:p>
        </w:tc>
        <w:tc>
          <w:tcPr>
            <w:tcW w:w="52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E65B8F0" w14:textId="77777777" w:rsidR="00EF6396" w:rsidRPr="00DB229E" w:rsidRDefault="00EF6396" w:rsidP="007A298B">
            <w:pPr>
              <w:pStyle w:val="TableStyle1"/>
              <w:shd w:val="clear" w:color="auto" w:fill="FFFFFF" w:themeFill="background1"/>
              <w:spacing w:line="276" w:lineRule="auto"/>
              <w:rPr>
                <w:rFonts w:asciiTheme="minorHAnsi" w:hAnsiTheme="minorHAnsi" w:cstheme="minorHAnsi"/>
                <w:sz w:val="22"/>
                <w:szCs w:val="22"/>
              </w:rPr>
            </w:pPr>
          </w:p>
        </w:tc>
      </w:tr>
      <w:tr w:rsidR="00EF6396" w:rsidRPr="001C0159" w14:paraId="3781FD7E" w14:textId="77777777" w:rsidTr="006831B8">
        <w:tblPrEx>
          <w:shd w:val="clear" w:color="auto" w:fill="auto"/>
        </w:tblPrEx>
        <w:trPr>
          <w:trHeight w:val="406"/>
        </w:trPr>
        <w:tc>
          <w:tcPr>
            <w:tcW w:w="9214" w:type="dxa"/>
            <w:gridSpan w:val="5"/>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957454A" w14:textId="56D063C4" w:rsidR="00EF6396" w:rsidRDefault="00EF6396" w:rsidP="007A298B">
            <w:pPr>
              <w:pStyle w:val="TableStyle1"/>
              <w:shd w:val="clear" w:color="auto" w:fill="FFFFFF" w:themeFill="background1"/>
              <w:spacing w:line="276" w:lineRule="auto"/>
              <w:rPr>
                <w:rFonts w:asciiTheme="minorHAnsi" w:hAnsiTheme="minorHAnsi" w:cstheme="minorHAnsi"/>
                <w:b w:val="0"/>
                <w:sz w:val="22"/>
                <w:szCs w:val="22"/>
              </w:rPr>
            </w:pPr>
            <w:r>
              <w:rPr>
                <w:rFonts w:asciiTheme="minorHAnsi" w:hAnsiTheme="minorHAnsi" w:cstheme="minorHAnsi"/>
                <w:b w:val="0"/>
                <w:sz w:val="22"/>
                <w:szCs w:val="22"/>
              </w:rPr>
              <w:t xml:space="preserve">The </w:t>
            </w:r>
            <w:r w:rsidR="009E516E">
              <w:rPr>
                <w:rFonts w:asciiTheme="minorHAnsi" w:hAnsiTheme="minorHAnsi" w:cstheme="minorHAnsi"/>
                <w:b w:val="0"/>
                <w:sz w:val="22"/>
                <w:szCs w:val="22"/>
              </w:rPr>
              <w:t>mobility vehicle</w:t>
            </w:r>
            <w:r>
              <w:rPr>
                <w:rFonts w:asciiTheme="minorHAnsi" w:hAnsiTheme="minorHAnsi" w:cstheme="minorHAnsi"/>
                <w:b w:val="0"/>
                <w:sz w:val="22"/>
                <w:szCs w:val="22"/>
              </w:rPr>
              <w:t xml:space="preserve"> will be stored and charged as agreed with Housing 21. Housing 21 has a </w:t>
            </w:r>
            <w:r w:rsidR="009E516E">
              <w:rPr>
                <w:rFonts w:asciiTheme="minorHAnsi" w:hAnsiTheme="minorHAnsi" w:cstheme="minorHAnsi"/>
                <w:b w:val="0"/>
                <w:sz w:val="22"/>
                <w:szCs w:val="22"/>
              </w:rPr>
              <w:t>zero-tolerance</w:t>
            </w:r>
            <w:r>
              <w:rPr>
                <w:rFonts w:asciiTheme="minorHAnsi" w:hAnsiTheme="minorHAnsi" w:cstheme="minorHAnsi"/>
                <w:b w:val="0"/>
                <w:sz w:val="22"/>
                <w:szCs w:val="22"/>
              </w:rPr>
              <w:t xml:space="preserve"> approach to any flammable items being stored or charged in communal corridors or escape routes.</w:t>
            </w:r>
          </w:p>
        </w:tc>
        <w:tc>
          <w:tcPr>
            <w:tcW w:w="52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409D01E" w14:textId="77777777" w:rsidR="00EF6396" w:rsidRPr="00DB229E" w:rsidRDefault="00EF6396" w:rsidP="007A298B">
            <w:pPr>
              <w:pStyle w:val="TableStyle1"/>
              <w:shd w:val="clear" w:color="auto" w:fill="FFFFFF" w:themeFill="background1"/>
              <w:spacing w:line="276" w:lineRule="auto"/>
              <w:rPr>
                <w:rFonts w:asciiTheme="minorHAnsi" w:hAnsiTheme="minorHAnsi" w:cstheme="minorHAnsi"/>
                <w:sz w:val="22"/>
                <w:szCs w:val="22"/>
              </w:rPr>
            </w:pPr>
          </w:p>
        </w:tc>
      </w:tr>
      <w:tr w:rsidR="00EF6396" w:rsidRPr="001C0159" w14:paraId="2AE43776" w14:textId="77777777" w:rsidTr="006831B8">
        <w:tblPrEx>
          <w:shd w:val="clear" w:color="auto" w:fill="auto"/>
        </w:tblPrEx>
        <w:trPr>
          <w:trHeight w:val="249"/>
        </w:trPr>
        <w:tc>
          <w:tcPr>
            <w:tcW w:w="9214" w:type="dxa"/>
            <w:gridSpan w:val="5"/>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0E6A883" w14:textId="7FEE597A" w:rsidR="00EF6396" w:rsidRDefault="00EF6396" w:rsidP="007A298B">
            <w:pPr>
              <w:pStyle w:val="TableStyle1"/>
              <w:shd w:val="clear" w:color="auto" w:fill="FFFFFF" w:themeFill="background1"/>
              <w:spacing w:line="276" w:lineRule="auto"/>
              <w:rPr>
                <w:rFonts w:asciiTheme="minorHAnsi" w:hAnsiTheme="minorHAnsi" w:cstheme="minorHAnsi"/>
                <w:b w:val="0"/>
                <w:sz w:val="22"/>
                <w:szCs w:val="22"/>
              </w:rPr>
            </w:pPr>
            <w:r>
              <w:rPr>
                <w:rFonts w:asciiTheme="minorHAnsi" w:hAnsiTheme="minorHAnsi" w:cstheme="minorHAnsi"/>
                <w:b w:val="0"/>
                <w:sz w:val="22"/>
                <w:szCs w:val="22"/>
              </w:rPr>
              <w:t xml:space="preserve">The </w:t>
            </w:r>
            <w:r w:rsidR="00361657">
              <w:rPr>
                <w:rFonts w:asciiTheme="minorHAnsi" w:hAnsiTheme="minorHAnsi" w:cstheme="minorHAnsi"/>
                <w:b w:val="0"/>
                <w:sz w:val="22"/>
                <w:szCs w:val="22"/>
              </w:rPr>
              <w:t>mobility vehicle</w:t>
            </w:r>
            <w:r>
              <w:rPr>
                <w:rFonts w:asciiTheme="minorHAnsi" w:hAnsiTheme="minorHAnsi" w:cstheme="minorHAnsi"/>
                <w:b w:val="0"/>
                <w:sz w:val="22"/>
                <w:szCs w:val="22"/>
              </w:rPr>
              <w:t xml:space="preserve"> must be charged in accordance with manufacturers’ instructions.</w:t>
            </w:r>
          </w:p>
        </w:tc>
        <w:tc>
          <w:tcPr>
            <w:tcW w:w="52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BDB65FB" w14:textId="77777777" w:rsidR="00EF6396" w:rsidRPr="00DB229E" w:rsidRDefault="00EF6396" w:rsidP="007A298B">
            <w:pPr>
              <w:pStyle w:val="TableStyle1"/>
              <w:shd w:val="clear" w:color="auto" w:fill="FFFFFF" w:themeFill="background1"/>
              <w:spacing w:line="276" w:lineRule="auto"/>
              <w:rPr>
                <w:rFonts w:asciiTheme="minorHAnsi" w:hAnsiTheme="minorHAnsi" w:cstheme="minorHAnsi"/>
                <w:sz w:val="22"/>
                <w:szCs w:val="22"/>
              </w:rPr>
            </w:pPr>
          </w:p>
        </w:tc>
      </w:tr>
      <w:tr w:rsidR="00EF6396" w:rsidRPr="001C0159" w14:paraId="4687A761" w14:textId="77777777" w:rsidTr="006831B8">
        <w:tblPrEx>
          <w:shd w:val="clear" w:color="auto" w:fill="auto"/>
        </w:tblPrEx>
        <w:trPr>
          <w:trHeight w:val="271"/>
        </w:trPr>
        <w:tc>
          <w:tcPr>
            <w:tcW w:w="9214" w:type="dxa"/>
            <w:gridSpan w:val="5"/>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030654A" w14:textId="77777777" w:rsidR="00EF6396" w:rsidRDefault="00EF6396" w:rsidP="007A298B">
            <w:pPr>
              <w:pStyle w:val="TableStyle1"/>
              <w:shd w:val="clear" w:color="auto" w:fill="FFFFFF" w:themeFill="background1"/>
              <w:spacing w:line="276" w:lineRule="auto"/>
              <w:rPr>
                <w:rFonts w:asciiTheme="minorHAnsi" w:hAnsiTheme="minorHAnsi" w:cstheme="minorHAnsi"/>
                <w:b w:val="0"/>
                <w:sz w:val="22"/>
                <w:szCs w:val="22"/>
              </w:rPr>
            </w:pPr>
            <w:r>
              <w:rPr>
                <w:rFonts w:asciiTheme="minorHAnsi" w:hAnsiTheme="minorHAnsi" w:cstheme="minorHAnsi"/>
                <w:b w:val="0"/>
                <w:sz w:val="22"/>
                <w:szCs w:val="22"/>
              </w:rPr>
              <w:t>Charging may only take place between 06:00 and 22:00.</w:t>
            </w:r>
          </w:p>
        </w:tc>
        <w:tc>
          <w:tcPr>
            <w:tcW w:w="52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BAA7CEF" w14:textId="77777777" w:rsidR="00EF6396" w:rsidRPr="00DB229E" w:rsidRDefault="00EF6396" w:rsidP="007A298B">
            <w:pPr>
              <w:pStyle w:val="TableStyle1"/>
              <w:shd w:val="clear" w:color="auto" w:fill="FFFFFF" w:themeFill="background1"/>
              <w:spacing w:line="276" w:lineRule="auto"/>
              <w:rPr>
                <w:rFonts w:asciiTheme="minorHAnsi" w:hAnsiTheme="minorHAnsi" w:cstheme="minorHAnsi"/>
                <w:sz w:val="22"/>
                <w:szCs w:val="22"/>
              </w:rPr>
            </w:pPr>
          </w:p>
        </w:tc>
      </w:tr>
      <w:tr w:rsidR="00EF6396" w:rsidRPr="001C0159" w14:paraId="22D6B38F" w14:textId="77777777" w:rsidTr="006831B8">
        <w:tblPrEx>
          <w:shd w:val="clear" w:color="auto" w:fill="auto"/>
        </w:tblPrEx>
        <w:trPr>
          <w:trHeight w:val="233"/>
        </w:trPr>
        <w:tc>
          <w:tcPr>
            <w:tcW w:w="9214" w:type="dxa"/>
            <w:gridSpan w:val="5"/>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D2D03D0" w14:textId="182B01EA" w:rsidR="00EF6396" w:rsidRDefault="00EF6396" w:rsidP="007A298B">
            <w:pPr>
              <w:pStyle w:val="TableStyle1"/>
              <w:shd w:val="clear" w:color="auto" w:fill="FFFFFF" w:themeFill="background1"/>
              <w:spacing w:line="276" w:lineRule="auto"/>
              <w:rPr>
                <w:rFonts w:asciiTheme="minorHAnsi" w:hAnsiTheme="minorHAnsi" w:cstheme="minorHAnsi"/>
                <w:b w:val="0"/>
                <w:sz w:val="22"/>
                <w:szCs w:val="22"/>
              </w:rPr>
            </w:pPr>
            <w:r>
              <w:rPr>
                <w:rFonts w:asciiTheme="minorHAnsi" w:hAnsiTheme="minorHAnsi" w:cstheme="minorHAnsi"/>
                <w:b w:val="0"/>
                <w:sz w:val="22"/>
                <w:szCs w:val="22"/>
              </w:rPr>
              <w:t xml:space="preserve">All equipment will be subject to </w:t>
            </w:r>
            <w:r w:rsidR="00E3056D">
              <w:rPr>
                <w:rFonts w:asciiTheme="minorHAnsi" w:hAnsiTheme="minorHAnsi" w:cstheme="minorHAnsi"/>
                <w:b w:val="0"/>
                <w:sz w:val="22"/>
                <w:szCs w:val="22"/>
              </w:rPr>
              <w:t xml:space="preserve">an </w:t>
            </w:r>
            <w:r>
              <w:rPr>
                <w:rFonts w:asciiTheme="minorHAnsi" w:hAnsiTheme="minorHAnsi" w:cstheme="minorHAnsi"/>
                <w:b w:val="0"/>
                <w:sz w:val="22"/>
                <w:szCs w:val="22"/>
              </w:rPr>
              <w:t xml:space="preserve">annual Portable Appliance Test (PAT).  </w:t>
            </w:r>
          </w:p>
        </w:tc>
        <w:tc>
          <w:tcPr>
            <w:tcW w:w="52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2F818A8" w14:textId="77777777" w:rsidR="00EF6396" w:rsidRPr="00DB229E" w:rsidRDefault="00EF6396" w:rsidP="007A298B">
            <w:pPr>
              <w:pStyle w:val="TableStyle1"/>
              <w:shd w:val="clear" w:color="auto" w:fill="FFFFFF" w:themeFill="background1"/>
              <w:spacing w:line="276" w:lineRule="auto"/>
              <w:rPr>
                <w:rFonts w:asciiTheme="minorHAnsi" w:hAnsiTheme="minorHAnsi" w:cstheme="minorHAnsi"/>
                <w:sz w:val="22"/>
                <w:szCs w:val="22"/>
              </w:rPr>
            </w:pPr>
          </w:p>
        </w:tc>
      </w:tr>
      <w:tr w:rsidR="00EF6396" w:rsidRPr="001C0159" w14:paraId="1D46DF57" w14:textId="77777777" w:rsidTr="006831B8">
        <w:tblPrEx>
          <w:shd w:val="clear" w:color="auto" w:fill="auto"/>
        </w:tblPrEx>
        <w:trPr>
          <w:trHeight w:val="239"/>
        </w:trPr>
        <w:tc>
          <w:tcPr>
            <w:tcW w:w="9214" w:type="dxa"/>
            <w:gridSpan w:val="5"/>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1B33637" w14:textId="15C008E6" w:rsidR="00EF6396" w:rsidRDefault="00EF6396" w:rsidP="007A298B">
            <w:pPr>
              <w:pStyle w:val="TableStyle1"/>
              <w:shd w:val="clear" w:color="auto" w:fill="FFFFFF" w:themeFill="background1"/>
              <w:spacing w:line="276" w:lineRule="auto"/>
              <w:rPr>
                <w:rFonts w:asciiTheme="minorHAnsi" w:hAnsiTheme="minorHAnsi" w:cstheme="minorHAnsi"/>
                <w:b w:val="0"/>
                <w:sz w:val="22"/>
                <w:szCs w:val="22"/>
              </w:rPr>
            </w:pPr>
            <w:r>
              <w:rPr>
                <w:rFonts w:asciiTheme="minorHAnsi" w:hAnsiTheme="minorHAnsi" w:cstheme="minorHAnsi"/>
                <w:b w:val="0"/>
                <w:sz w:val="22"/>
                <w:szCs w:val="22"/>
              </w:rPr>
              <w:t xml:space="preserve">No flammable materials are to be stored near the </w:t>
            </w:r>
            <w:r w:rsidR="00361657">
              <w:rPr>
                <w:rFonts w:asciiTheme="minorHAnsi" w:hAnsiTheme="minorHAnsi" w:cstheme="minorHAnsi"/>
                <w:b w:val="0"/>
                <w:sz w:val="22"/>
                <w:szCs w:val="22"/>
              </w:rPr>
              <w:t>mobility vehicle</w:t>
            </w:r>
            <w:r>
              <w:rPr>
                <w:rFonts w:asciiTheme="minorHAnsi" w:hAnsiTheme="minorHAnsi" w:cstheme="minorHAnsi"/>
                <w:b w:val="0"/>
                <w:sz w:val="22"/>
                <w:szCs w:val="22"/>
              </w:rPr>
              <w:t>.</w:t>
            </w:r>
          </w:p>
        </w:tc>
        <w:tc>
          <w:tcPr>
            <w:tcW w:w="52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3339779" w14:textId="77777777" w:rsidR="00EF6396" w:rsidRPr="00DB229E" w:rsidRDefault="00EF6396" w:rsidP="007A298B">
            <w:pPr>
              <w:pStyle w:val="TableStyle1"/>
              <w:shd w:val="clear" w:color="auto" w:fill="FFFFFF" w:themeFill="background1"/>
              <w:spacing w:line="276" w:lineRule="auto"/>
              <w:rPr>
                <w:rFonts w:asciiTheme="minorHAnsi" w:hAnsiTheme="minorHAnsi" w:cstheme="minorHAnsi"/>
                <w:sz w:val="22"/>
                <w:szCs w:val="22"/>
              </w:rPr>
            </w:pPr>
          </w:p>
        </w:tc>
      </w:tr>
      <w:tr w:rsidR="00EF6396" w:rsidRPr="001C0159" w14:paraId="40C4EE97" w14:textId="77777777" w:rsidTr="006831B8">
        <w:tblPrEx>
          <w:shd w:val="clear" w:color="auto" w:fill="auto"/>
        </w:tblPrEx>
        <w:trPr>
          <w:trHeight w:val="231"/>
        </w:trPr>
        <w:tc>
          <w:tcPr>
            <w:tcW w:w="9214" w:type="dxa"/>
            <w:gridSpan w:val="5"/>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2F2D31D" w14:textId="36A68DF1" w:rsidR="00EF6396" w:rsidRDefault="00EF6396" w:rsidP="007A298B">
            <w:pPr>
              <w:pStyle w:val="TableStyle1"/>
              <w:shd w:val="clear" w:color="auto" w:fill="FFFFFF" w:themeFill="background1"/>
              <w:spacing w:line="276" w:lineRule="auto"/>
              <w:rPr>
                <w:rFonts w:asciiTheme="minorHAnsi" w:hAnsiTheme="minorHAnsi" w:cstheme="minorHAnsi"/>
                <w:b w:val="0"/>
                <w:sz w:val="22"/>
                <w:szCs w:val="22"/>
              </w:rPr>
            </w:pPr>
            <w:r>
              <w:rPr>
                <w:rFonts w:asciiTheme="minorHAnsi" w:hAnsiTheme="minorHAnsi" w:cstheme="minorHAnsi"/>
                <w:b w:val="0"/>
                <w:sz w:val="22"/>
                <w:szCs w:val="22"/>
              </w:rPr>
              <w:t xml:space="preserve">Electric extension leads are not to be used when charging </w:t>
            </w:r>
            <w:r w:rsidR="00361657">
              <w:rPr>
                <w:rFonts w:asciiTheme="minorHAnsi" w:hAnsiTheme="minorHAnsi" w:cstheme="minorHAnsi"/>
                <w:b w:val="0"/>
                <w:sz w:val="22"/>
                <w:szCs w:val="22"/>
              </w:rPr>
              <w:t>mobility vehicles</w:t>
            </w:r>
            <w:r>
              <w:rPr>
                <w:rFonts w:asciiTheme="minorHAnsi" w:hAnsiTheme="minorHAnsi" w:cstheme="minorHAnsi"/>
                <w:b w:val="0"/>
                <w:sz w:val="22"/>
                <w:szCs w:val="22"/>
              </w:rPr>
              <w:t>.</w:t>
            </w:r>
          </w:p>
        </w:tc>
        <w:tc>
          <w:tcPr>
            <w:tcW w:w="52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899D673" w14:textId="77777777" w:rsidR="00EF6396" w:rsidRPr="00DB229E" w:rsidRDefault="00EF6396" w:rsidP="007A298B">
            <w:pPr>
              <w:pStyle w:val="TableStyle1"/>
              <w:shd w:val="clear" w:color="auto" w:fill="FFFFFF" w:themeFill="background1"/>
              <w:spacing w:line="276" w:lineRule="auto"/>
              <w:rPr>
                <w:rFonts w:asciiTheme="minorHAnsi" w:hAnsiTheme="minorHAnsi" w:cstheme="minorHAnsi"/>
                <w:sz w:val="22"/>
                <w:szCs w:val="22"/>
              </w:rPr>
            </w:pPr>
          </w:p>
        </w:tc>
      </w:tr>
      <w:tr w:rsidR="00EF6396" w:rsidRPr="001C0159" w14:paraId="442A0093" w14:textId="77777777" w:rsidTr="006831B8">
        <w:tblPrEx>
          <w:shd w:val="clear" w:color="auto" w:fill="auto"/>
        </w:tblPrEx>
        <w:trPr>
          <w:trHeight w:val="406"/>
        </w:trPr>
        <w:tc>
          <w:tcPr>
            <w:tcW w:w="9214" w:type="dxa"/>
            <w:gridSpan w:val="5"/>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E01F796" w14:textId="48C68662" w:rsidR="00EF6396" w:rsidRDefault="00EF6396" w:rsidP="007A298B">
            <w:pPr>
              <w:pStyle w:val="TableStyle1"/>
              <w:shd w:val="clear" w:color="auto" w:fill="FFFFFF" w:themeFill="background1"/>
              <w:spacing w:line="276" w:lineRule="auto"/>
              <w:rPr>
                <w:rFonts w:asciiTheme="minorHAnsi" w:hAnsiTheme="minorHAnsi" w:cstheme="minorHAnsi"/>
                <w:b w:val="0"/>
                <w:sz w:val="22"/>
                <w:szCs w:val="22"/>
              </w:rPr>
            </w:pPr>
            <w:r>
              <w:rPr>
                <w:rFonts w:asciiTheme="minorHAnsi" w:hAnsiTheme="minorHAnsi" w:cstheme="minorHAnsi"/>
                <w:b w:val="0"/>
                <w:sz w:val="22"/>
                <w:szCs w:val="22"/>
              </w:rPr>
              <w:t xml:space="preserve">After receiving permission to use/store your </w:t>
            </w:r>
            <w:r w:rsidR="00361657">
              <w:rPr>
                <w:rFonts w:asciiTheme="minorHAnsi" w:hAnsiTheme="minorHAnsi" w:cstheme="minorHAnsi"/>
                <w:b w:val="0"/>
                <w:sz w:val="22"/>
                <w:szCs w:val="22"/>
              </w:rPr>
              <w:t>mobility vehicle</w:t>
            </w:r>
            <w:r>
              <w:rPr>
                <w:rFonts w:asciiTheme="minorHAnsi" w:hAnsiTheme="minorHAnsi" w:cstheme="minorHAnsi"/>
                <w:b w:val="0"/>
                <w:sz w:val="22"/>
                <w:szCs w:val="22"/>
              </w:rPr>
              <w:t xml:space="preserve">, should your circumstances change for any reason, you </w:t>
            </w:r>
            <w:r w:rsidR="00EE411C">
              <w:rPr>
                <w:rFonts w:asciiTheme="minorHAnsi" w:hAnsiTheme="minorHAnsi" w:cstheme="minorHAnsi"/>
                <w:b w:val="0"/>
                <w:sz w:val="22"/>
                <w:szCs w:val="22"/>
              </w:rPr>
              <w:t>must</w:t>
            </w:r>
            <w:r>
              <w:rPr>
                <w:rFonts w:asciiTheme="minorHAnsi" w:hAnsiTheme="minorHAnsi" w:cstheme="minorHAnsi"/>
                <w:b w:val="0"/>
                <w:sz w:val="22"/>
                <w:szCs w:val="22"/>
              </w:rPr>
              <w:t xml:space="preserve"> let us know immediately as it may affect your permission.</w:t>
            </w:r>
          </w:p>
        </w:tc>
        <w:tc>
          <w:tcPr>
            <w:tcW w:w="52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C842271" w14:textId="77777777" w:rsidR="00EF6396" w:rsidRPr="00DB229E" w:rsidRDefault="00EF6396" w:rsidP="007A298B">
            <w:pPr>
              <w:pStyle w:val="TableStyle1"/>
              <w:shd w:val="clear" w:color="auto" w:fill="FFFFFF" w:themeFill="background1"/>
              <w:spacing w:line="276" w:lineRule="auto"/>
              <w:rPr>
                <w:rFonts w:asciiTheme="minorHAnsi" w:hAnsiTheme="minorHAnsi" w:cstheme="minorHAnsi"/>
                <w:sz w:val="22"/>
                <w:szCs w:val="22"/>
              </w:rPr>
            </w:pPr>
          </w:p>
        </w:tc>
      </w:tr>
      <w:tr w:rsidR="00EF6396" w:rsidRPr="001C0159" w14:paraId="21A68D30" w14:textId="77777777" w:rsidTr="006831B8">
        <w:tblPrEx>
          <w:shd w:val="clear" w:color="auto" w:fill="auto"/>
        </w:tblPrEx>
        <w:trPr>
          <w:trHeight w:val="406"/>
        </w:trPr>
        <w:tc>
          <w:tcPr>
            <w:tcW w:w="9214" w:type="dxa"/>
            <w:gridSpan w:val="5"/>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A64D1BC" w14:textId="45CFE749" w:rsidR="00EF6396" w:rsidRDefault="00EF6396" w:rsidP="007A298B">
            <w:pPr>
              <w:pStyle w:val="TableStyle1"/>
              <w:shd w:val="clear" w:color="auto" w:fill="FFFFFF" w:themeFill="background1"/>
              <w:spacing w:line="276" w:lineRule="auto"/>
              <w:rPr>
                <w:rFonts w:asciiTheme="minorHAnsi" w:hAnsiTheme="minorHAnsi" w:cstheme="minorHAnsi"/>
                <w:b w:val="0"/>
                <w:sz w:val="22"/>
                <w:szCs w:val="22"/>
              </w:rPr>
            </w:pPr>
            <w:r>
              <w:rPr>
                <w:rFonts w:asciiTheme="minorHAnsi" w:hAnsiTheme="minorHAnsi" w:cstheme="minorHAnsi"/>
                <w:b w:val="0"/>
                <w:sz w:val="22"/>
                <w:szCs w:val="22"/>
              </w:rPr>
              <w:lastRenderedPageBreak/>
              <w:t xml:space="preserve">Periodic checks of </w:t>
            </w:r>
            <w:r w:rsidR="00EE411C">
              <w:rPr>
                <w:rFonts w:asciiTheme="minorHAnsi" w:hAnsiTheme="minorHAnsi" w:cstheme="minorHAnsi"/>
                <w:b w:val="0"/>
                <w:sz w:val="22"/>
                <w:szCs w:val="22"/>
              </w:rPr>
              <w:t>mobility vehicle</w:t>
            </w:r>
            <w:r>
              <w:rPr>
                <w:rFonts w:asciiTheme="minorHAnsi" w:hAnsiTheme="minorHAnsi" w:cstheme="minorHAnsi"/>
                <w:b w:val="0"/>
                <w:sz w:val="22"/>
                <w:szCs w:val="22"/>
              </w:rPr>
              <w:t xml:space="preserve"> storage/charging will be undertaken by Housing 21 to ensure residents are complying with the conditions.</w:t>
            </w:r>
          </w:p>
        </w:tc>
        <w:tc>
          <w:tcPr>
            <w:tcW w:w="52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8CED3F8" w14:textId="77777777" w:rsidR="00EF6396" w:rsidRPr="00DB229E" w:rsidRDefault="00EF6396" w:rsidP="007A298B">
            <w:pPr>
              <w:pStyle w:val="TableStyle1"/>
              <w:shd w:val="clear" w:color="auto" w:fill="FFFFFF" w:themeFill="background1"/>
              <w:spacing w:line="276" w:lineRule="auto"/>
              <w:rPr>
                <w:rFonts w:asciiTheme="minorHAnsi" w:hAnsiTheme="minorHAnsi" w:cstheme="minorHAnsi"/>
                <w:sz w:val="22"/>
                <w:szCs w:val="22"/>
              </w:rPr>
            </w:pPr>
          </w:p>
        </w:tc>
      </w:tr>
      <w:tr w:rsidR="00EF6396" w:rsidRPr="001C0159" w14:paraId="2D9DE9C5" w14:textId="77777777" w:rsidTr="006831B8">
        <w:tblPrEx>
          <w:shd w:val="clear" w:color="auto" w:fill="auto"/>
        </w:tblPrEx>
        <w:trPr>
          <w:trHeight w:val="406"/>
        </w:trPr>
        <w:tc>
          <w:tcPr>
            <w:tcW w:w="9214" w:type="dxa"/>
            <w:gridSpan w:val="5"/>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D8337D8" w14:textId="29671D91" w:rsidR="00EF6396" w:rsidRDefault="00EF6396" w:rsidP="007A298B">
            <w:pPr>
              <w:pStyle w:val="TableStyle1"/>
              <w:shd w:val="clear" w:color="auto" w:fill="FFFFFF" w:themeFill="background1"/>
              <w:spacing w:line="276" w:lineRule="auto"/>
              <w:rPr>
                <w:rFonts w:asciiTheme="minorHAnsi" w:hAnsiTheme="minorHAnsi" w:cstheme="minorHAnsi"/>
                <w:b w:val="0"/>
                <w:sz w:val="22"/>
                <w:szCs w:val="22"/>
              </w:rPr>
            </w:pPr>
            <w:r>
              <w:rPr>
                <w:rFonts w:asciiTheme="minorHAnsi" w:hAnsiTheme="minorHAnsi" w:cstheme="minorHAnsi"/>
                <w:b w:val="0"/>
                <w:sz w:val="22"/>
                <w:szCs w:val="22"/>
              </w:rPr>
              <w:t xml:space="preserve">A breach of the </w:t>
            </w:r>
            <w:r w:rsidR="00BC7EC3">
              <w:rPr>
                <w:rFonts w:asciiTheme="minorHAnsi" w:hAnsiTheme="minorHAnsi" w:cstheme="minorHAnsi"/>
                <w:b w:val="0"/>
                <w:sz w:val="22"/>
                <w:szCs w:val="22"/>
              </w:rPr>
              <w:t>mobility vehicle</w:t>
            </w:r>
            <w:r>
              <w:rPr>
                <w:rFonts w:asciiTheme="minorHAnsi" w:hAnsiTheme="minorHAnsi" w:cstheme="minorHAnsi"/>
                <w:b w:val="0"/>
                <w:sz w:val="22"/>
                <w:szCs w:val="22"/>
              </w:rPr>
              <w:t xml:space="preserve"> conditions could result in Housing 21 withdrawing permission for the storage and charging of the scooter.</w:t>
            </w:r>
          </w:p>
        </w:tc>
        <w:tc>
          <w:tcPr>
            <w:tcW w:w="52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E01FEEE" w14:textId="77777777" w:rsidR="00EF6396" w:rsidRPr="00DB229E" w:rsidRDefault="00EF6396" w:rsidP="007A298B">
            <w:pPr>
              <w:pStyle w:val="TableStyle1"/>
              <w:shd w:val="clear" w:color="auto" w:fill="FFFFFF" w:themeFill="background1"/>
              <w:spacing w:line="276" w:lineRule="auto"/>
              <w:rPr>
                <w:rFonts w:asciiTheme="minorHAnsi" w:hAnsiTheme="minorHAnsi" w:cstheme="minorHAnsi"/>
                <w:sz w:val="22"/>
                <w:szCs w:val="22"/>
              </w:rPr>
            </w:pPr>
          </w:p>
        </w:tc>
      </w:tr>
      <w:tr w:rsidR="00EF6396" w:rsidRPr="001C0159" w14:paraId="54BD71DD" w14:textId="77777777" w:rsidTr="0014007F">
        <w:tblPrEx>
          <w:shd w:val="clear" w:color="auto" w:fill="auto"/>
        </w:tblPrEx>
        <w:trPr>
          <w:trHeight w:val="305"/>
        </w:trPr>
        <w:tc>
          <w:tcPr>
            <w:tcW w:w="170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1E1E0768" w14:textId="77777777" w:rsidR="00EF6396" w:rsidRPr="0081645E" w:rsidRDefault="00EF6396" w:rsidP="007A298B">
            <w:pPr>
              <w:spacing w:after="0"/>
              <w:rPr>
                <w:b/>
              </w:rPr>
            </w:pPr>
            <w:r w:rsidRPr="0081645E">
              <w:rPr>
                <w:b/>
              </w:rPr>
              <w:t>Signed</w:t>
            </w:r>
          </w:p>
        </w:tc>
        <w:tc>
          <w:tcPr>
            <w:tcW w:w="3869"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Pr>
          <w:p w14:paraId="010ED649" w14:textId="77777777" w:rsidR="00EF6396" w:rsidRDefault="00EF6396" w:rsidP="007A298B">
            <w:pPr>
              <w:pStyle w:val="TableStyle1"/>
              <w:shd w:val="clear" w:color="auto" w:fill="FFFFFF" w:themeFill="background1"/>
              <w:spacing w:line="276" w:lineRule="auto"/>
              <w:rPr>
                <w:rFonts w:asciiTheme="minorHAnsi" w:hAnsiTheme="minorHAnsi" w:cstheme="minorHAnsi"/>
                <w:b w:val="0"/>
                <w:sz w:val="22"/>
                <w:szCs w:val="22"/>
              </w:rPr>
            </w:pPr>
          </w:p>
        </w:tc>
        <w:tc>
          <w:tcPr>
            <w:tcW w:w="109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313F5628" w14:textId="77777777" w:rsidR="00EF6396" w:rsidRPr="00B256D2" w:rsidRDefault="00EF6396" w:rsidP="007A298B">
            <w:pPr>
              <w:pStyle w:val="TableStyle1"/>
              <w:shd w:val="clear" w:color="auto" w:fill="F2F2F2" w:themeFill="background1" w:themeFillShade="F2"/>
              <w:spacing w:line="276" w:lineRule="auto"/>
              <w:rPr>
                <w:rFonts w:asciiTheme="minorHAnsi" w:hAnsiTheme="minorHAnsi" w:cstheme="minorHAnsi"/>
                <w:sz w:val="22"/>
                <w:szCs w:val="22"/>
              </w:rPr>
            </w:pPr>
            <w:r w:rsidRPr="00B256D2">
              <w:rPr>
                <w:rFonts w:asciiTheme="minorHAnsi" w:hAnsiTheme="minorHAnsi" w:cstheme="minorHAnsi"/>
                <w:sz w:val="22"/>
                <w:szCs w:val="22"/>
              </w:rPr>
              <w:t>Date</w:t>
            </w:r>
          </w:p>
        </w:tc>
        <w:tc>
          <w:tcPr>
            <w:tcW w:w="3080"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tcPr>
          <w:p w14:paraId="65D919BE" w14:textId="77777777" w:rsidR="00EF6396" w:rsidRPr="00DB229E" w:rsidRDefault="00EF6396" w:rsidP="007A298B">
            <w:pPr>
              <w:pStyle w:val="TableStyle1"/>
              <w:shd w:val="clear" w:color="auto" w:fill="FFFFFF" w:themeFill="background1"/>
              <w:spacing w:line="276" w:lineRule="auto"/>
              <w:rPr>
                <w:rFonts w:asciiTheme="minorHAnsi" w:hAnsiTheme="minorHAnsi" w:cstheme="minorHAnsi"/>
                <w:sz w:val="22"/>
                <w:szCs w:val="22"/>
              </w:rPr>
            </w:pPr>
          </w:p>
        </w:tc>
      </w:tr>
      <w:tr w:rsidR="00EF6396" w:rsidRPr="001C0159" w14:paraId="1D9AF2F0" w14:textId="77777777" w:rsidTr="0014007F">
        <w:tblPrEx>
          <w:shd w:val="clear" w:color="auto" w:fill="auto"/>
        </w:tblPrEx>
        <w:trPr>
          <w:trHeight w:val="406"/>
        </w:trPr>
        <w:tc>
          <w:tcPr>
            <w:tcW w:w="170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02C619BC" w14:textId="77777777" w:rsidR="00EF6396" w:rsidRPr="0081645E" w:rsidRDefault="00EF6396" w:rsidP="007A298B">
            <w:pPr>
              <w:spacing w:after="0"/>
              <w:rPr>
                <w:b/>
              </w:rPr>
            </w:pPr>
            <w:r w:rsidRPr="0081645E">
              <w:rPr>
                <w:b/>
              </w:rPr>
              <w:t>Print Name</w:t>
            </w:r>
          </w:p>
        </w:tc>
        <w:tc>
          <w:tcPr>
            <w:tcW w:w="8042" w:type="dxa"/>
            <w:gridSpan w:val="5"/>
            <w:tcBorders>
              <w:top w:val="single" w:sz="2" w:space="0" w:color="000000"/>
              <w:left w:val="single" w:sz="2" w:space="0" w:color="000000"/>
              <w:bottom w:val="single" w:sz="2" w:space="0" w:color="000000"/>
              <w:right w:val="single" w:sz="2" w:space="0" w:color="000000"/>
            </w:tcBorders>
            <w:shd w:val="clear" w:color="auto" w:fill="FFFFFF" w:themeFill="background1"/>
          </w:tcPr>
          <w:p w14:paraId="04D5EABC" w14:textId="77777777" w:rsidR="00EF6396" w:rsidRPr="00DB229E" w:rsidRDefault="00EF6396" w:rsidP="007A298B">
            <w:pPr>
              <w:pStyle w:val="TableStyle1"/>
              <w:shd w:val="clear" w:color="auto" w:fill="FFFFFF" w:themeFill="background1"/>
              <w:spacing w:line="276" w:lineRule="auto"/>
              <w:rPr>
                <w:rFonts w:asciiTheme="minorHAnsi" w:hAnsiTheme="minorHAnsi" w:cstheme="minorHAnsi"/>
                <w:sz w:val="22"/>
                <w:szCs w:val="22"/>
              </w:rPr>
            </w:pPr>
          </w:p>
        </w:tc>
      </w:tr>
    </w:tbl>
    <w:p w14:paraId="54F484DE" w14:textId="77777777" w:rsidR="0003555C" w:rsidRDefault="0003555C" w:rsidP="007A298B">
      <w:pPr>
        <w:pStyle w:val="Body"/>
        <w:spacing w:line="276" w:lineRule="auto"/>
        <w:rPr>
          <w:rFonts w:asciiTheme="minorHAnsi" w:hAnsiTheme="minorHAnsi" w:cstheme="minorHAnsi"/>
        </w:rPr>
      </w:pPr>
    </w:p>
    <w:p w14:paraId="5C6693FA" w14:textId="2F15299B" w:rsidR="00EF6396" w:rsidRPr="001C0159" w:rsidRDefault="00EF6396" w:rsidP="007A298B">
      <w:pPr>
        <w:pStyle w:val="Body"/>
        <w:spacing w:line="276" w:lineRule="auto"/>
        <w:rPr>
          <w:rFonts w:ascii="Calibri" w:hAnsi="Calibri"/>
        </w:rPr>
      </w:pPr>
      <w:r>
        <w:rPr>
          <w:rFonts w:asciiTheme="minorHAnsi" w:hAnsiTheme="minorHAnsi" w:cstheme="minorHAnsi"/>
        </w:rPr>
        <w:t>Housing 21 will not unreasonably refuse permission unless there is a good reason. If permission is refused the Manager will explain the reason(s) to you.</w:t>
      </w:r>
    </w:p>
    <w:p w14:paraId="6647D49E" w14:textId="77777777" w:rsidR="00EF6396" w:rsidRDefault="00EF6396" w:rsidP="007A298B">
      <w:pPr>
        <w:pStyle w:val="Body"/>
        <w:spacing w:line="276" w:lineRule="auto"/>
        <w:rPr>
          <w:rFonts w:ascii="Calibri" w:hAnsi="Calibri"/>
          <w:b/>
          <w:bCs/>
          <w:lang w:val="en-US"/>
        </w:rPr>
      </w:pPr>
    </w:p>
    <w:p w14:paraId="6CB49E0B" w14:textId="77777777" w:rsidR="00EF6396" w:rsidRDefault="00EF6396" w:rsidP="007A298B">
      <w:pPr>
        <w:pStyle w:val="Body"/>
        <w:spacing w:line="276" w:lineRule="auto"/>
        <w:rPr>
          <w:rFonts w:ascii="Calibri" w:hAnsi="Calibri"/>
          <w:b/>
          <w:bCs/>
          <w:color w:val="0070C0"/>
          <w:sz w:val="24"/>
          <w:szCs w:val="24"/>
          <w:lang w:val="en-US"/>
        </w:rPr>
      </w:pPr>
    </w:p>
    <w:p w14:paraId="681FF45E" w14:textId="2FFFD7C8" w:rsidR="00EF6396" w:rsidRPr="00C968B0" w:rsidRDefault="00EF6396" w:rsidP="007A298B">
      <w:pPr>
        <w:pStyle w:val="Body"/>
        <w:spacing w:line="276" w:lineRule="auto"/>
        <w:rPr>
          <w:rFonts w:ascii="Calibri" w:hAnsi="Calibri"/>
          <w:b/>
          <w:bCs/>
          <w:color w:val="002060"/>
          <w:sz w:val="24"/>
          <w:szCs w:val="24"/>
          <w:lang w:val="en-US"/>
        </w:rPr>
      </w:pPr>
      <w:r w:rsidRPr="00C968B0">
        <w:rPr>
          <w:rFonts w:ascii="Calibri" w:hAnsi="Calibri"/>
          <w:b/>
          <w:bCs/>
          <w:color w:val="002060"/>
          <w:sz w:val="24"/>
          <w:szCs w:val="24"/>
          <w:lang w:val="en-US"/>
        </w:rPr>
        <w:t xml:space="preserve">PERMISSION ASSESSMENT (TO BE COMPLETED BY </w:t>
      </w:r>
      <w:r w:rsidR="00072A71" w:rsidRPr="00C968B0">
        <w:rPr>
          <w:rFonts w:ascii="Calibri" w:hAnsi="Calibri"/>
          <w:b/>
          <w:bCs/>
          <w:color w:val="002060"/>
          <w:sz w:val="24"/>
          <w:szCs w:val="24"/>
          <w:lang w:val="en-US"/>
        </w:rPr>
        <w:t>LOCAL HOUSING</w:t>
      </w:r>
      <w:r w:rsidR="00C968B0" w:rsidRPr="00C968B0">
        <w:rPr>
          <w:rFonts w:ascii="Calibri" w:hAnsi="Calibri"/>
          <w:b/>
          <w:bCs/>
          <w:color w:val="002060"/>
          <w:sz w:val="24"/>
          <w:szCs w:val="24"/>
          <w:lang w:val="en-US"/>
        </w:rPr>
        <w:t xml:space="preserve">/EXTRA CARE </w:t>
      </w:r>
      <w:r w:rsidRPr="00C968B0">
        <w:rPr>
          <w:rFonts w:ascii="Calibri" w:hAnsi="Calibri"/>
          <w:b/>
          <w:bCs/>
          <w:color w:val="002060"/>
          <w:sz w:val="24"/>
          <w:szCs w:val="24"/>
          <w:lang w:val="en-US"/>
        </w:rPr>
        <w:t>MANAGER)</w:t>
      </w:r>
    </w:p>
    <w:p w14:paraId="2CEEBB67" w14:textId="77777777" w:rsidR="00EF6396" w:rsidRDefault="00EF6396" w:rsidP="007A298B">
      <w:pPr>
        <w:pStyle w:val="Body"/>
        <w:spacing w:line="276" w:lineRule="auto"/>
        <w:rPr>
          <w:rFonts w:ascii="Calibri" w:hAnsi="Calibri"/>
        </w:rPr>
      </w:pPr>
    </w:p>
    <w:tbl>
      <w:tblPr>
        <w:tblStyle w:val="TableGrid"/>
        <w:tblW w:w="0" w:type="auto"/>
        <w:tblLook w:val="04A0" w:firstRow="1" w:lastRow="0" w:firstColumn="1" w:lastColumn="0" w:noHBand="0" w:noVBand="1"/>
      </w:tblPr>
      <w:tblGrid>
        <w:gridCol w:w="561"/>
        <w:gridCol w:w="5124"/>
        <w:gridCol w:w="1934"/>
        <w:gridCol w:w="987"/>
        <w:gridCol w:w="566"/>
        <w:gridCol w:w="564"/>
      </w:tblGrid>
      <w:tr w:rsidR="00EF6396" w14:paraId="21406F58" w14:textId="77777777" w:rsidTr="00E00DAB">
        <w:trPr>
          <w:trHeight w:val="424"/>
        </w:trPr>
        <w:tc>
          <w:tcPr>
            <w:tcW w:w="8784" w:type="dxa"/>
            <w:gridSpan w:val="4"/>
            <w:shd w:val="clear" w:color="auto" w:fill="D9D9D9" w:themeFill="background1" w:themeFillShade="D9"/>
            <w:vAlign w:val="center"/>
          </w:tcPr>
          <w:p w14:paraId="5D981E8E"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b/>
                <w:sz w:val="22"/>
                <w:szCs w:val="22"/>
              </w:rPr>
            </w:pPr>
            <w:r w:rsidRPr="00E00DAB">
              <w:rPr>
                <w:rFonts w:ascii="Calibri" w:hAnsi="Calibri"/>
                <w:b/>
                <w:sz w:val="22"/>
                <w:szCs w:val="22"/>
              </w:rPr>
              <w:t>Assessment Questions</w:t>
            </w:r>
          </w:p>
        </w:tc>
        <w:tc>
          <w:tcPr>
            <w:tcW w:w="567" w:type="dxa"/>
            <w:shd w:val="clear" w:color="auto" w:fill="D9D9D9" w:themeFill="background1" w:themeFillShade="D9"/>
            <w:vAlign w:val="center"/>
          </w:tcPr>
          <w:p w14:paraId="2FD91A02"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b/>
                <w:sz w:val="22"/>
                <w:szCs w:val="22"/>
              </w:rPr>
            </w:pPr>
            <w:r w:rsidRPr="00E00DAB">
              <w:rPr>
                <w:rFonts w:ascii="Calibri" w:hAnsi="Calibri"/>
                <w:b/>
                <w:sz w:val="22"/>
                <w:szCs w:val="22"/>
              </w:rPr>
              <w:t>Yes</w:t>
            </w:r>
          </w:p>
        </w:tc>
        <w:tc>
          <w:tcPr>
            <w:tcW w:w="567" w:type="dxa"/>
            <w:shd w:val="clear" w:color="auto" w:fill="D9D9D9" w:themeFill="background1" w:themeFillShade="D9"/>
            <w:vAlign w:val="center"/>
          </w:tcPr>
          <w:p w14:paraId="36C79233"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b/>
                <w:sz w:val="22"/>
                <w:szCs w:val="22"/>
              </w:rPr>
            </w:pPr>
            <w:r w:rsidRPr="00E00DAB">
              <w:rPr>
                <w:rFonts w:ascii="Calibri" w:hAnsi="Calibri"/>
                <w:b/>
                <w:sz w:val="22"/>
                <w:szCs w:val="22"/>
              </w:rPr>
              <w:t>No</w:t>
            </w:r>
          </w:p>
        </w:tc>
      </w:tr>
      <w:tr w:rsidR="00EF6396" w14:paraId="22B7F147" w14:textId="77777777" w:rsidTr="00E00DAB">
        <w:trPr>
          <w:trHeight w:val="428"/>
        </w:trPr>
        <w:tc>
          <w:tcPr>
            <w:tcW w:w="562" w:type="dxa"/>
            <w:vAlign w:val="center"/>
          </w:tcPr>
          <w:p w14:paraId="3FFC3B04"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r w:rsidRPr="00E00DAB">
              <w:rPr>
                <w:rFonts w:ascii="Calibri" w:hAnsi="Calibri"/>
                <w:sz w:val="22"/>
                <w:szCs w:val="22"/>
              </w:rPr>
              <w:t>1</w:t>
            </w:r>
          </w:p>
        </w:tc>
        <w:tc>
          <w:tcPr>
            <w:tcW w:w="8222" w:type="dxa"/>
            <w:gridSpan w:val="3"/>
            <w:vAlign w:val="center"/>
          </w:tcPr>
          <w:p w14:paraId="4A70DD32" w14:textId="5935FA1B"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r w:rsidRPr="00E00DAB">
              <w:rPr>
                <w:rFonts w:ascii="Calibri" w:hAnsi="Calibri"/>
                <w:sz w:val="22"/>
                <w:szCs w:val="22"/>
              </w:rPr>
              <w:t xml:space="preserve">Is there adequate space in the storage area for the </w:t>
            </w:r>
            <w:r w:rsidR="00BC7EC3">
              <w:rPr>
                <w:rFonts w:ascii="Calibri" w:hAnsi="Calibri"/>
                <w:sz w:val="22"/>
                <w:szCs w:val="22"/>
              </w:rPr>
              <w:t>mobility vehicle</w:t>
            </w:r>
            <w:r w:rsidRPr="00E00DAB">
              <w:rPr>
                <w:rFonts w:ascii="Calibri" w:hAnsi="Calibri"/>
                <w:sz w:val="22"/>
                <w:szCs w:val="22"/>
              </w:rPr>
              <w:t>?</w:t>
            </w:r>
          </w:p>
        </w:tc>
        <w:tc>
          <w:tcPr>
            <w:tcW w:w="567" w:type="dxa"/>
            <w:vAlign w:val="center"/>
          </w:tcPr>
          <w:p w14:paraId="66E2B1B6"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p>
        </w:tc>
        <w:tc>
          <w:tcPr>
            <w:tcW w:w="567" w:type="dxa"/>
            <w:vAlign w:val="center"/>
          </w:tcPr>
          <w:p w14:paraId="21C87833"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p>
        </w:tc>
      </w:tr>
      <w:tr w:rsidR="00EF6396" w14:paraId="2BB00AF8" w14:textId="77777777" w:rsidTr="00E00DAB">
        <w:trPr>
          <w:trHeight w:val="703"/>
        </w:trPr>
        <w:tc>
          <w:tcPr>
            <w:tcW w:w="562" w:type="dxa"/>
            <w:vAlign w:val="center"/>
          </w:tcPr>
          <w:p w14:paraId="05B005D7"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r w:rsidRPr="00E00DAB">
              <w:rPr>
                <w:rFonts w:ascii="Calibri" w:hAnsi="Calibri"/>
                <w:sz w:val="22"/>
                <w:szCs w:val="22"/>
              </w:rPr>
              <w:t>2</w:t>
            </w:r>
          </w:p>
        </w:tc>
        <w:tc>
          <w:tcPr>
            <w:tcW w:w="8222" w:type="dxa"/>
            <w:gridSpan w:val="3"/>
            <w:vAlign w:val="center"/>
          </w:tcPr>
          <w:p w14:paraId="4CDCC2CD" w14:textId="0DFBBB93"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r w:rsidRPr="00E00DAB">
              <w:rPr>
                <w:rFonts w:ascii="Calibri" w:hAnsi="Calibri"/>
                <w:sz w:val="22"/>
                <w:szCs w:val="22"/>
              </w:rPr>
              <w:t xml:space="preserve">If No to (1) has permission been given to provide a personal external </w:t>
            </w:r>
            <w:r w:rsidR="00962C68">
              <w:rPr>
                <w:rFonts w:ascii="Calibri" w:hAnsi="Calibri"/>
                <w:sz w:val="22"/>
                <w:szCs w:val="22"/>
              </w:rPr>
              <w:t>mobility vehicle</w:t>
            </w:r>
            <w:r w:rsidRPr="00E00DAB">
              <w:rPr>
                <w:rFonts w:ascii="Calibri" w:hAnsi="Calibri"/>
                <w:sz w:val="22"/>
                <w:szCs w:val="22"/>
              </w:rPr>
              <w:t xml:space="preserve"> store?</w:t>
            </w:r>
          </w:p>
          <w:p w14:paraId="4C2A0711" w14:textId="111B07A1"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r w:rsidRPr="00E00DAB">
              <w:rPr>
                <w:rFonts w:ascii="Calibri" w:hAnsi="Calibri"/>
                <w:sz w:val="22"/>
                <w:szCs w:val="22"/>
              </w:rPr>
              <w:t xml:space="preserve">This must be authorised by the </w:t>
            </w:r>
            <w:r w:rsidR="00962C68">
              <w:rPr>
                <w:rFonts w:ascii="Calibri" w:hAnsi="Calibri"/>
                <w:sz w:val="22"/>
                <w:szCs w:val="22"/>
              </w:rPr>
              <w:t>Building</w:t>
            </w:r>
            <w:r w:rsidRPr="00E00DAB">
              <w:rPr>
                <w:rFonts w:ascii="Calibri" w:hAnsi="Calibri"/>
                <w:sz w:val="22"/>
                <w:szCs w:val="22"/>
              </w:rPr>
              <w:t xml:space="preserve"> Surveyor and detailed on the Court R</w:t>
            </w:r>
            <w:r w:rsidR="00962C68">
              <w:rPr>
                <w:rFonts w:ascii="Calibri" w:hAnsi="Calibri"/>
                <w:sz w:val="22"/>
                <w:szCs w:val="22"/>
              </w:rPr>
              <w:t xml:space="preserve">isk </w:t>
            </w:r>
            <w:r w:rsidRPr="00E00DAB">
              <w:rPr>
                <w:rFonts w:ascii="Calibri" w:hAnsi="Calibri"/>
                <w:sz w:val="22"/>
                <w:szCs w:val="22"/>
              </w:rPr>
              <w:t>A</w:t>
            </w:r>
            <w:r w:rsidR="00962C68">
              <w:rPr>
                <w:rFonts w:ascii="Calibri" w:hAnsi="Calibri"/>
                <w:sz w:val="22"/>
                <w:szCs w:val="22"/>
              </w:rPr>
              <w:t>ssessment</w:t>
            </w:r>
            <w:r w:rsidRPr="00E00DAB">
              <w:rPr>
                <w:rFonts w:ascii="Calibri" w:hAnsi="Calibri"/>
                <w:sz w:val="22"/>
                <w:szCs w:val="22"/>
              </w:rPr>
              <w:t xml:space="preserve">. </w:t>
            </w:r>
          </w:p>
        </w:tc>
        <w:tc>
          <w:tcPr>
            <w:tcW w:w="567" w:type="dxa"/>
            <w:vAlign w:val="center"/>
          </w:tcPr>
          <w:p w14:paraId="035DF3CB"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p>
        </w:tc>
        <w:tc>
          <w:tcPr>
            <w:tcW w:w="567" w:type="dxa"/>
            <w:vAlign w:val="center"/>
          </w:tcPr>
          <w:p w14:paraId="465E5357"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p>
        </w:tc>
      </w:tr>
      <w:tr w:rsidR="00EF6396" w14:paraId="1B4BEE76" w14:textId="77777777" w:rsidTr="00E00DAB">
        <w:trPr>
          <w:trHeight w:val="700"/>
        </w:trPr>
        <w:tc>
          <w:tcPr>
            <w:tcW w:w="562" w:type="dxa"/>
            <w:vAlign w:val="center"/>
          </w:tcPr>
          <w:p w14:paraId="1BA1A82F"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r w:rsidRPr="00E00DAB">
              <w:rPr>
                <w:rFonts w:ascii="Calibri" w:hAnsi="Calibri"/>
                <w:sz w:val="22"/>
                <w:szCs w:val="22"/>
              </w:rPr>
              <w:t>3</w:t>
            </w:r>
          </w:p>
        </w:tc>
        <w:tc>
          <w:tcPr>
            <w:tcW w:w="8222" w:type="dxa"/>
            <w:gridSpan w:val="3"/>
            <w:vAlign w:val="center"/>
          </w:tcPr>
          <w:p w14:paraId="23BDCF9E"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r w:rsidRPr="00E00DAB">
              <w:rPr>
                <w:rFonts w:ascii="Calibri" w:hAnsi="Calibri"/>
                <w:sz w:val="22"/>
                <w:szCs w:val="22"/>
              </w:rPr>
              <w:t>Has the electrical charging equipment got a valid PAT certificate/sticker?</w:t>
            </w:r>
          </w:p>
          <w:p w14:paraId="43D2B13F"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r w:rsidRPr="00E00DAB">
              <w:rPr>
                <w:rFonts w:ascii="Calibri" w:hAnsi="Calibri"/>
                <w:sz w:val="22"/>
                <w:szCs w:val="22"/>
              </w:rPr>
              <w:t>Valid until __/__/____</w:t>
            </w:r>
          </w:p>
        </w:tc>
        <w:tc>
          <w:tcPr>
            <w:tcW w:w="567" w:type="dxa"/>
            <w:vAlign w:val="center"/>
          </w:tcPr>
          <w:p w14:paraId="04E6975B"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p>
        </w:tc>
        <w:tc>
          <w:tcPr>
            <w:tcW w:w="567" w:type="dxa"/>
            <w:vAlign w:val="center"/>
          </w:tcPr>
          <w:p w14:paraId="1D492CE4"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p>
        </w:tc>
      </w:tr>
      <w:tr w:rsidR="00EF6396" w14:paraId="195EA50D" w14:textId="77777777" w:rsidTr="00E00DAB">
        <w:trPr>
          <w:trHeight w:val="412"/>
        </w:trPr>
        <w:tc>
          <w:tcPr>
            <w:tcW w:w="562" w:type="dxa"/>
            <w:vAlign w:val="center"/>
          </w:tcPr>
          <w:p w14:paraId="4B07F138"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r w:rsidRPr="00E00DAB">
              <w:rPr>
                <w:rFonts w:ascii="Calibri" w:hAnsi="Calibri"/>
                <w:sz w:val="22"/>
                <w:szCs w:val="22"/>
              </w:rPr>
              <w:t>4</w:t>
            </w:r>
          </w:p>
        </w:tc>
        <w:tc>
          <w:tcPr>
            <w:tcW w:w="8222" w:type="dxa"/>
            <w:gridSpan w:val="3"/>
            <w:vAlign w:val="center"/>
          </w:tcPr>
          <w:p w14:paraId="0ABDCEB5"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r w:rsidRPr="00E00DAB">
              <w:rPr>
                <w:rFonts w:ascii="Calibri" w:hAnsi="Calibri"/>
                <w:sz w:val="22"/>
                <w:szCs w:val="22"/>
              </w:rPr>
              <w:t>Has a copy of the insurance been provided?</w:t>
            </w:r>
          </w:p>
        </w:tc>
        <w:tc>
          <w:tcPr>
            <w:tcW w:w="567" w:type="dxa"/>
            <w:vAlign w:val="center"/>
          </w:tcPr>
          <w:p w14:paraId="2EAFB5AB"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p>
        </w:tc>
        <w:tc>
          <w:tcPr>
            <w:tcW w:w="567" w:type="dxa"/>
            <w:vAlign w:val="center"/>
          </w:tcPr>
          <w:p w14:paraId="25D938A4"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p>
        </w:tc>
      </w:tr>
      <w:tr w:rsidR="00EF6396" w14:paraId="203C657C" w14:textId="77777777" w:rsidTr="00E00DAB">
        <w:trPr>
          <w:trHeight w:val="404"/>
        </w:trPr>
        <w:tc>
          <w:tcPr>
            <w:tcW w:w="562" w:type="dxa"/>
            <w:vAlign w:val="center"/>
          </w:tcPr>
          <w:p w14:paraId="5EEEA369"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r w:rsidRPr="00E00DAB">
              <w:rPr>
                <w:rFonts w:ascii="Calibri" w:hAnsi="Calibri"/>
                <w:sz w:val="22"/>
                <w:szCs w:val="22"/>
              </w:rPr>
              <w:t>5</w:t>
            </w:r>
          </w:p>
        </w:tc>
        <w:tc>
          <w:tcPr>
            <w:tcW w:w="8222" w:type="dxa"/>
            <w:gridSpan w:val="3"/>
            <w:vAlign w:val="center"/>
          </w:tcPr>
          <w:p w14:paraId="03FFDC20"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r w:rsidRPr="00E00DAB">
              <w:rPr>
                <w:rFonts w:ascii="Calibri" w:hAnsi="Calibri"/>
                <w:sz w:val="22"/>
                <w:szCs w:val="22"/>
              </w:rPr>
              <w:t>If relevant, has a copy of DVLA registration been provided?</w:t>
            </w:r>
          </w:p>
        </w:tc>
        <w:tc>
          <w:tcPr>
            <w:tcW w:w="567" w:type="dxa"/>
            <w:vAlign w:val="center"/>
          </w:tcPr>
          <w:p w14:paraId="09AC5719"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p>
        </w:tc>
        <w:tc>
          <w:tcPr>
            <w:tcW w:w="567" w:type="dxa"/>
            <w:vAlign w:val="center"/>
          </w:tcPr>
          <w:p w14:paraId="339618A6"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p>
        </w:tc>
      </w:tr>
      <w:tr w:rsidR="00EF6396" w14:paraId="5BAE9567" w14:textId="77777777" w:rsidTr="00E00DAB">
        <w:trPr>
          <w:trHeight w:val="484"/>
        </w:trPr>
        <w:tc>
          <w:tcPr>
            <w:tcW w:w="9918" w:type="dxa"/>
            <w:gridSpan w:val="6"/>
            <w:shd w:val="clear" w:color="auto" w:fill="D9D9D9" w:themeFill="background1" w:themeFillShade="D9"/>
            <w:vAlign w:val="center"/>
          </w:tcPr>
          <w:p w14:paraId="480DFCF8"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r w:rsidRPr="00E00DAB">
              <w:rPr>
                <w:rFonts w:ascii="Calibri" w:hAnsi="Calibri"/>
                <w:b/>
                <w:sz w:val="22"/>
                <w:szCs w:val="22"/>
              </w:rPr>
              <w:t>Outcome</w:t>
            </w:r>
          </w:p>
        </w:tc>
      </w:tr>
      <w:tr w:rsidR="00EF6396" w14:paraId="76FE63C1" w14:textId="77777777" w:rsidTr="00E00DAB">
        <w:trPr>
          <w:trHeight w:val="360"/>
        </w:trPr>
        <w:tc>
          <w:tcPr>
            <w:tcW w:w="8784" w:type="dxa"/>
            <w:gridSpan w:val="4"/>
            <w:vAlign w:val="center"/>
          </w:tcPr>
          <w:p w14:paraId="53A66C0E" w14:textId="41441828"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r w:rsidRPr="00E00DAB">
              <w:rPr>
                <w:rFonts w:ascii="Calibri" w:hAnsi="Calibri"/>
                <w:sz w:val="22"/>
                <w:szCs w:val="22"/>
              </w:rPr>
              <w:t>If No</w:t>
            </w:r>
            <w:r w:rsidR="00962C68">
              <w:rPr>
                <w:rFonts w:ascii="Calibri" w:hAnsi="Calibri"/>
                <w:sz w:val="22"/>
                <w:szCs w:val="22"/>
              </w:rPr>
              <w:t>,</w:t>
            </w:r>
            <w:r w:rsidRPr="00E00DAB">
              <w:rPr>
                <w:rFonts w:ascii="Calibri" w:hAnsi="Calibri"/>
                <w:sz w:val="22"/>
                <w:szCs w:val="22"/>
              </w:rPr>
              <w:t xml:space="preserve"> to question 1 and 2 reason/s for refusal:</w:t>
            </w:r>
          </w:p>
        </w:tc>
        <w:tc>
          <w:tcPr>
            <w:tcW w:w="567" w:type="dxa"/>
            <w:vAlign w:val="center"/>
          </w:tcPr>
          <w:p w14:paraId="328C348C"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p>
        </w:tc>
        <w:tc>
          <w:tcPr>
            <w:tcW w:w="567" w:type="dxa"/>
            <w:vAlign w:val="center"/>
          </w:tcPr>
          <w:p w14:paraId="47C8A212"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p>
        </w:tc>
      </w:tr>
      <w:tr w:rsidR="00EF6396" w14:paraId="2E4F2349" w14:textId="77777777" w:rsidTr="00E00DAB">
        <w:trPr>
          <w:trHeight w:val="408"/>
        </w:trPr>
        <w:tc>
          <w:tcPr>
            <w:tcW w:w="562" w:type="dxa"/>
            <w:vAlign w:val="center"/>
          </w:tcPr>
          <w:p w14:paraId="1845CD70"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r w:rsidRPr="00E00DAB">
              <w:rPr>
                <w:rFonts w:ascii="Calibri" w:hAnsi="Calibri"/>
                <w:sz w:val="22"/>
                <w:szCs w:val="22"/>
              </w:rPr>
              <w:t>a.</w:t>
            </w:r>
          </w:p>
        </w:tc>
        <w:tc>
          <w:tcPr>
            <w:tcW w:w="8222" w:type="dxa"/>
            <w:gridSpan w:val="3"/>
            <w:vAlign w:val="center"/>
          </w:tcPr>
          <w:p w14:paraId="48E711EF" w14:textId="51DA374C"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r w:rsidRPr="00E00DAB">
              <w:rPr>
                <w:rFonts w:ascii="Calibri" w:hAnsi="Calibri"/>
                <w:sz w:val="22"/>
                <w:szCs w:val="22"/>
              </w:rPr>
              <w:t xml:space="preserve">Inadequate space in the designated </w:t>
            </w:r>
            <w:r w:rsidR="00962C68">
              <w:rPr>
                <w:rFonts w:ascii="Calibri" w:hAnsi="Calibri"/>
                <w:sz w:val="22"/>
                <w:szCs w:val="22"/>
              </w:rPr>
              <w:t>mobility vehicle</w:t>
            </w:r>
            <w:r w:rsidRPr="00E00DAB">
              <w:rPr>
                <w:rFonts w:ascii="Calibri" w:hAnsi="Calibri"/>
                <w:sz w:val="22"/>
                <w:szCs w:val="22"/>
              </w:rPr>
              <w:t xml:space="preserve"> storage areas</w:t>
            </w:r>
          </w:p>
        </w:tc>
        <w:tc>
          <w:tcPr>
            <w:tcW w:w="567" w:type="dxa"/>
            <w:vAlign w:val="center"/>
          </w:tcPr>
          <w:p w14:paraId="63A7EC44"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p>
        </w:tc>
        <w:tc>
          <w:tcPr>
            <w:tcW w:w="567" w:type="dxa"/>
            <w:vAlign w:val="center"/>
          </w:tcPr>
          <w:p w14:paraId="3C1FE2DE"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p>
        </w:tc>
      </w:tr>
      <w:tr w:rsidR="00EF6396" w14:paraId="03191635" w14:textId="77777777" w:rsidTr="00E00DAB">
        <w:trPr>
          <w:trHeight w:val="414"/>
        </w:trPr>
        <w:tc>
          <w:tcPr>
            <w:tcW w:w="562" w:type="dxa"/>
            <w:vAlign w:val="center"/>
          </w:tcPr>
          <w:p w14:paraId="2D0969AF"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r w:rsidRPr="00E00DAB">
              <w:rPr>
                <w:rFonts w:ascii="Calibri" w:hAnsi="Calibri"/>
                <w:sz w:val="22"/>
                <w:szCs w:val="22"/>
              </w:rPr>
              <w:t>b.</w:t>
            </w:r>
          </w:p>
        </w:tc>
        <w:tc>
          <w:tcPr>
            <w:tcW w:w="8222" w:type="dxa"/>
            <w:gridSpan w:val="3"/>
            <w:vAlign w:val="center"/>
          </w:tcPr>
          <w:p w14:paraId="5D2820F6" w14:textId="5DA76810"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r w:rsidRPr="00E00DAB">
              <w:rPr>
                <w:rFonts w:ascii="Calibri" w:hAnsi="Calibri"/>
                <w:sz w:val="22"/>
                <w:szCs w:val="22"/>
              </w:rPr>
              <w:t xml:space="preserve">Resident already has a </w:t>
            </w:r>
            <w:r w:rsidR="00BC7EC3">
              <w:rPr>
                <w:rFonts w:ascii="Calibri" w:hAnsi="Calibri"/>
                <w:sz w:val="22"/>
                <w:szCs w:val="22"/>
              </w:rPr>
              <w:t>mobility vehicle</w:t>
            </w:r>
            <w:r w:rsidRPr="00E00DAB">
              <w:rPr>
                <w:rFonts w:ascii="Calibri" w:hAnsi="Calibri"/>
                <w:sz w:val="22"/>
                <w:szCs w:val="22"/>
              </w:rPr>
              <w:t xml:space="preserve"> stored in the area </w:t>
            </w:r>
          </w:p>
        </w:tc>
        <w:tc>
          <w:tcPr>
            <w:tcW w:w="567" w:type="dxa"/>
            <w:vAlign w:val="center"/>
          </w:tcPr>
          <w:p w14:paraId="678554A8"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p>
        </w:tc>
        <w:tc>
          <w:tcPr>
            <w:tcW w:w="567" w:type="dxa"/>
            <w:vAlign w:val="center"/>
          </w:tcPr>
          <w:p w14:paraId="010DA254"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p>
        </w:tc>
      </w:tr>
      <w:tr w:rsidR="00EF6396" w14:paraId="6C428D06" w14:textId="77777777" w:rsidTr="00E00DAB">
        <w:trPr>
          <w:trHeight w:val="419"/>
        </w:trPr>
        <w:tc>
          <w:tcPr>
            <w:tcW w:w="7792" w:type="dxa"/>
            <w:gridSpan w:val="3"/>
            <w:shd w:val="clear" w:color="auto" w:fill="F2F2F2" w:themeFill="background1" w:themeFillShade="F2"/>
            <w:vAlign w:val="center"/>
          </w:tcPr>
          <w:p w14:paraId="7475B0BD" w14:textId="54A90D4E"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b/>
                <w:sz w:val="22"/>
                <w:szCs w:val="22"/>
              </w:rPr>
            </w:pPr>
            <w:r w:rsidRPr="00E00DAB">
              <w:rPr>
                <w:rFonts w:ascii="Calibri" w:hAnsi="Calibri"/>
                <w:b/>
                <w:sz w:val="22"/>
                <w:szCs w:val="22"/>
              </w:rPr>
              <w:t xml:space="preserve">Resident advised of reason </w:t>
            </w:r>
            <w:r w:rsidR="00E00DAB" w:rsidRPr="00E00DAB">
              <w:rPr>
                <w:rFonts w:ascii="Calibri" w:hAnsi="Calibri"/>
                <w:b/>
                <w:sz w:val="22"/>
                <w:szCs w:val="22"/>
              </w:rPr>
              <w:t>for refusal</w:t>
            </w:r>
            <w:r w:rsidRPr="00E00DAB">
              <w:rPr>
                <w:rFonts w:ascii="Calibri" w:hAnsi="Calibri"/>
                <w:b/>
                <w:sz w:val="22"/>
                <w:szCs w:val="22"/>
              </w:rPr>
              <w:t xml:space="preserve"> </w:t>
            </w:r>
          </w:p>
        </w:tc>
        <w:tc>
          <w:tcPr>
            <w:tcW w:w="992" w:type="dxa"/>
            <w:vAlign w:val="center"/>
          </w:tcPr>
          <w:p w14:paraId="620A44EB"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b/>
                <w:sz w:val="22"/>
                <w:szCs w:val="22"/>
              </w:rPr>
            </w:pPr>
            <w:r w:rsidRPr="00E00DAB">
              <w:rPr>
                <w:rFonts w:ascii="Calibri" w:hAnsi="Calibri"/>
                <w:b/>
                <w:sz w:val="22"/>
                <w:szCs w:val="22"/>
              </w:rPr>
              <w:t>Date</w:t>
            </w:r>
          </w:p>
        </w:tc>
        <w:tc>
          <w:tcPr>
            <w:tcW w:w="1134" w:type="dxa"/>
            <w:gridSpan w:val="2"/>
            <w:shd w:val="clear" w:color="auto" w:fill="F2F2F2" w:themeFill="background1" w:themeFillShade="F2"/>
            <w:vAlign w:val="center"/>
          </w:tcPr>
          <w:p w14:paraId="3F02DF6F"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p>
        </w:tc>
      </w:tr>
      <w:tr w:rsidR="00EF6396" w14:paraId="5124ECB3" w14:textId="77777777" w:rsidTr="00E00DAB">
        <w:tc>
          <w:tcPr>
            <w:tcW w:w="9918" w:type="dxa"/>
            <w:gridSpan w:val="6"/>
            <w:vAlign w:val="center"/>
          </w:tcPr>
          <w:p w14:paraId="50290801"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r w:rsidRPr="00E00DAB">
              <w:rPr>
                <w:rFonts w:ascii="Calibri" w:hAnsi="Calibri"/>
                <w:sz w:val="22"/>
                <w:szCs w:val="22"/>
              </w:rPr>
              <w:t>Or/</w:t>
            </w:r>
          </w:p>
        </w:tc>
      </w:tr>
      <w:tr w:rsidR="00EF6396" w14:paraId="4715474A" w14:textId="77777777" w:rsidTr="00E00DAB">
        <w:trPr>
          <w:trHeight w:val="430"/>
        </w:trPr>
        <w:tc>
          <w:tcPr>
            <w:tcW w:w="7792" w:type="dxa"/>
            <w:gridSpan w:val="3"/>
            <w:shd w:val="clear" w:color="auto" w:fill="F2F2F2" w:themeFill="background1" w:themeFillShade="F2"/>
            <w:vAlign w:val="center"/>
          </w:tcPr>
          <w:p w14:paraId="10995CCE"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b/>
                <w:sz w:val="22"/>
                <w:szCs w:val="22"/>
              </w:rPr>
            </w:pPr>
            <w:r w:rsidRPr="00E00DAB">
              <w:rPr>
                <w:rFonts w:ascii="Calibri" w:hAnsi="Calibri"/>
                <w:b/>
                <w:sz w:val="22"/>
                <w:szCs w:val="22"/>
              </w:rPr>
              <w:t xml:space="preserve">Permission granted and resident advised </w:t>
            </w:r>
          </w:p>
        </w:tc>
        <w:tc>
          <w:tcPr>
            <w:tcW w:w="992" w:type="dxa"/>
            <w:vAlign w:val="center"/>
          </w:tcPr>
          <w:p w14:paraId="668A1324"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b/>
                <w:sz w:val="22"/>
                <w:szCs w:val="22"/>
              </w:rPr>
            </w:pPr>
            <w:r w:rsidRPr="00E00DAB">
              <w:rPr>
                <w:rFonts w:ascii="Calibri" w:hAnsi="Calibri"/>
                <w:b/>
                <w:sz w:val="22"/>
                <w:szCs w:val="22"/>
              </w:rPr>
              <w:t>Date</w:t>
            </w:r>
          </w:p>
        </w:tc>
        <w:tc>
          <w:tcPr>
            <w:tcW w:w="1134" w:type="dxa"/>
            <w:gridSpan w:val="2"/>
            <w:shd w:val="clear" w:color="auto" w:fill="F2F2F2" w:themeFill="background1" w:themeFillShade="F2"/>
            <w:vAlign w:val="center"/>
          </w:tcPr>
          <w:p w14:paraId="5A0D30C8"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p>
        </w:tc>
      </w:tr>
      <w:tr w:rsidR="00EF6396" w14:paraId="6B4BCD0E" w14:textId="77777777" w:rsidTr="00E00DAB">
        <w:trPr>
          <w:trHeight w:val="394"/>
        </w:trPr>
        <w:tc>
          <w:tcPr>
            <w:tcW w:w="5807" w:type="dxa"/>
            <w:gridSpan w:val="2"/>
            <w:shd w:val="clear" w:color="auto" w:fill="D9D9D9" w:themeFill="background1" w:themeFillShade="D9"/>
            <w:vAlign w:val="center"/>
          </w:tcPr>
          <w:p w14:paraId="165CCB89" w14:textId="25CB5779" w:rsidR="00EF6396" w:rsidRPr="00E00DAB" w:rsidRDefault="00E00DAB"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b/>
                <w:sz w:val="22"/>
                <w:szCs w:val="22"/>
              </w:rPr>
            </w:pPr>
            <w:r>
              <w:rPr>
                <w:rFonts w:ascii="Calibri" w:hAnsi="Calibri"/>
                <w:b/>
                <w:sz w:val="22"/>
                <w:szCs w:val="22"/>
              </w:rPr>
              <w:t>Local Housing</w:t>
            </w:r>
            <w:r w:rsidR="00EF6396" w:rsidRPr="00E00DAB">
              <w:rPr>
                <w:rFonts w:ascii="Calibri" w:hAnsi="Calibri"/>
                <w:b/>
                <w:sz w:val="22"/>
                <w:szCs w:val="22"/>
              </w:rPr>
              <w:t>/</w:t>
            </w:r>
            <w:r>
              <w:rPr>
                <w:rFonts w:ascii="Calibri" w:hAnsi="Calibri"/>
                <w:b/>
                <w:sz w:val="22"/>
                <w:szCs w:val="22"/>
              </w:rPr>
              <w:t>Extra Care</w:t>
            </w:r>
            <w:r w:rsidR="00EF6396" w:rsidRPr="00E00DAB">
              <w:rPr>
                <w:rFonts w:ascii="Calibri" w:hAnsi="Calibri"/>
                <w:b/>
                <w:sz w:val="22"/>
                <w:szCs w:val="22"/>
              </w:rPr>
              <w:t xml:space="preserve"> Manager’s signature</w:t>
            </w:r>
          </w:p>
        </w:tc>
        <w:tc>
          <w:tcPr>
            <w:tcW w:w="4111" w:type="dxa"/>
            <w:gridSpan w:val="4"/>
            <w:vAlign w:val="center"/>
          </w:tcPr>
          <w:p w14:paraId="00F8FE98"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p>
        </w:tc>
      </w:tr>
      <w:tr w:rsidR="00EF6396" w14:paraId="69D64C7C" w14:textId="77777777" w:rsidTr="00E00DAB">
        <w:trPr>
          <w:trHeight w:val="428"/>
        </w:trPr>
        <w:tc>
          <w:tcPr>
            <w:tcW w:w="5807" w:type="dxa"/>
            <w:gridSpan w:val="2"/>
            <w:shd w:val="clear" w:color="auto" w:fill="D9D9D9" w:themeFill="background1" w:themeFillShade="D9"/>
            <w:vAlign w:val="center"/>
          </w:tcPr>
          <w:p w14:paraId="560688FF"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b/>
                <w:sz w:val="22"/>
                <w:szCs w:val="22"/>
              </w:rPr>
            </w:pPr>
            <w:r w:rsidRPr="00E00DAB">
              <w:rPr>
                <w:rFonts w:ascii="Calibri" w:hAnsi="Calibri"/>
                <w:b/>
                <w:sz w:val="22"/>
                <w:szCs w:val="22"/>
              </w:rPr>
              <w:t>Print Name</w:t>
            </w:r>
          </w:p>
        </w:tc>
        <w:tc>
          <w:tcPr>
            <w:tcW w:w="4111" w:type="dxa"/>
            <w:gridSpan w:val="4"/>
            <w:vAlign w:val="center"/>
          </w:tcPr>
          <w:p w14:paraId="53C28E34" w14:textId="77777777" w:rsidR="00EF6396" w:rsidRPr="00E00DAB" w:rsidRDefault="00EF6396" w:rsidP="007A298B">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rPr>
            </w:pPr>
          </w:p>
        </w:tc>
      </w:tr>
    </w:tbl>
    <w:p w14:paraId="5D412AF4" w14:textId="77777777" w:rsidR="00EF6396" w:rsidRPr="001C0159" w:rsidRDefault="00EF6396" w:rsidP="007A298B">
      <w:pPr>
        <w:pStyle w:val="Body"/>
        <w:spacing w:line="276" w:lineRule="auto"/>
        <w:rPr>
          <w:rFonts w:ascii="Calibri" w:hAnsi="Calibri"/>
        </w:rPr>
      </w:pPr>
    </w:p>
    <w:p w14:paraId="2819C0C9" w14:textId="77777777" w:rsidR="00EF6396" w:rsidRPr="001C0159" w:rsidRDefault="00EF6396" w:rsidP="007A298B">
      <w:pPr>
        <w:pStyle w:val="Body"/>
        <w:spacing w:line="276" w:lineRule="auto"/>
        <w:rPr>
          <w:rFonts w:ascii="Calibri" w:hAnsi="Calibri"/>
        </w:rPr>
      </w:pPr>
      <w:r w:rsidRPr="001C0159">
        <w:rPr>
          <w:rFonts w:ascii="Calibri" w:hAnsi="Calibri"/>
          <w:lang w:val="en-US"/>
        </w:rPr>
        <w:t>This form should be retained as a record that pe</w:t>
      </w:r>
      <w:r>
        <w:rPr>
          <w:rFonts w:ascii="Calibri" w:hAnsi="Calibri"/>
          <w:lang w:val="en-US"/>
        </w:rPr>
        <w:t>rmission has been granted/refused</w:t>
      </w:r>
      <w:r w:rsidRPr="001C0159">
        <w:rPr>
          <w:rFonts w:ascii="Calibri" w:hAnsi="Calibri"/>
          <w:lang w:val="en-US"/>
        </w:rPr>
        <w:t>.</w:t>
      </w:r>
    </w:p>
    <w:p w14:paraId="7F05B94E" w14:textId="77777777" w:rsidR="00EF6396" w:rsidRPr="001C0159" w:rsidRDefault="00EF6396" w:rsidP="007A298B">
      <w:pPr>
        <w:pStyle w:val="Body"/>
        <w:spacing w:line="276" w:lineRule="auto"/>
        <w:rPr>
          <w:rFonts w:ascii="Calibri" w:hAnsi="Calibri"/>
        </w:rPr>
      </w:pPr>
      <w:r w:rsidRPr="001C0159">
        <w:rPr>
          <w:rFonts w:ascii="Calibri" w:hAnsi="Calibri"/>
        </w:rPr>
        <w:tab/>
      </w:r>
    </w:p>
    <w:p w14:paraId="414E9AE5" w14:textId="77777777" w:rsidR="00311F9D" w:rsidRPr="00290CF1" w:rsidRDefault="00311F9D" w:rsidP="007A298B">
      <w:pPr>
        <w:shd w:val="clear" w:color="auto" w:fill="FFFFFF" w:themeFill="background1"/>
        <w:spacing w:after="0"/>
        <w:rPr>
          <w:rFonts w:eastAsiaTheme="minorHAnsi" w:cs="Calibri"/>
          <w:b/>
          <w:bCs/>
        </w:rPr>
      </w:pPr>
    </w:p>
    <w:sectPr w:rsidR="00311F9D" w:rsidRPr="00290CF1" w:rsidSect="00E447C6">
      <w:headerReference w:type="default" r:id="rId18"/>
      <w:footerReference w:type="default" r:id="rId19"/>
      <w:headerReference w:type="first" r:id="rId20"/>
      <w:footerReference w:type="first" r:id="rId21"/>
      <w:pgSz w:w="11906" w:h="16838"/>
      <w:pgMar w:top="1440" w:right="1080" w:bottom="1440" w:left="108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8AAD" w14:textId="77777777" w:rsidR="003E65D9" w:rsidRDefault="003E65D9" w:rsidP="009504C2">
      <w:pPr>
        <w:spacing w:after="0" w:line="240" w:lineRule="auto"/>
      </w:pPr>
      <w:r>
        <w:separator/>
      </w:r>
    </w:p>
  </w:endnote>
  <w:endnote w:type="continuationSeparator" w:id="0">
    <w:p w14:paraId="4634522E" w14:textId="77777777" w:rsidR="003E65D9" w:rsidRDefault="003E65D9" w:rsidP="009504C2">
      <w:pPr>
        <w:spacing w:after="0" w:line="240" w:lineRule="auto"/>
      </w:pPr>
      <w:r>
        <w:continuationSeparator/>
      </w:r>
    </w:p>
  </w:endnote>
  <w:endnote w:type="continuationNotice" w:id="1">
    <w:p w14:paraId="4F6AC083" w14:textId="77777777" w:rsidR="003E65D9" w:rsidRDefault="003E65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68540"/>
      <w:docPartObj>
        <w:docPartGallery w:val="Page Numbers (Bottom of Page)"/>
        <w:docPartUnique/>
      </w:docPartObj>
    </w:sdtPr>
    <w:sdtEndPr>
      <w:rPr>
        <w:noProof/>
      </w:rPr>
    </w:sdtEndPr>
    <w:sdtContent>
      <w:p w14:paraId="6DCAC29F" w14:textId="19C6D09D" w:rsidR="009D1A16" w:rsidRDefault="009D1A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DA33F9" w14:textId="77777777" w:rsidR="00583FB5" w:rsidRDefault="00583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0047" w14:textId="06C85443" w:rsidR="00950670" w:rsidRPr="00950670" w:rsidRDefault="00950670">
    <w:pPr>
      <w:pStyle w:val="Footer"/>
      <w:jc w:val="center"/>
    </w:pPr>
    <w:r w:rsidRPr="00950670">
      <w:t xml:space="preserve">Page </w:t>
    </w:r>
    <w:r w:rsidRPr="00950670">
      <w:rPr>
        <w:sz w:val="24"/>
        <w:szCs w:val="24"/>
      </w:rPr>
      <w:fldChar w:fldCharType="begin"/>
    </w:r>
    <w:r w:rsidRPr="00950670">
      <w:instrText xml:space="preserve"> PAGE </w:instrText>
    </w:r>
    <w:r w:rsidRPr="00950670">
      <w:rPr>
        <w:sz w:val="24"/>
        <w:szCs w:val="24"/>
      </w:rPr>
      <w:fldChar w:fldCharType="separate"/>
    </w:r>
    <w:r w:rsidRPr="00950670">
      <w:rPr>
        <w:noProof/>
      </w:rPr>
      <w:t>2</w:t>
    </w:r>
    <w:r w:rsidRPr="00950670">
      <w:rPr>
        <w:sz w:val="24"/>
        <w:szCs w:val="24"/>
      </w:rPr>
      <w:fldChar w:fldCharType="end"/>
    </w:r>
    <w:r w:rsidRPr="00950670">
      <w:t xml:space="preserve"> of </w:t>
    </w:r>
    <w:r>
      <w:fldChar w:fldCharType="begin"/>
    </w:r>
    <w:r>
      <w:instrText>NUMPAGES</w:instrText>
    </w:r>
    <w:r>
      <w:fldChar w:fldCharType="separate"/>
    </w:r>
    <w:r w:rsidRPr="00950670">
      <w:rPr>
        <w:noProof/>
      </w:rPr>
      <w:t>2</w:t>
    </w:r>
    <w:r>
      <w:fldChar w:fldCharType="end"/>
    </w:r>
  </w:p>
  <w:p w14:paraId="0C48CDDD" w14:textId="77777777" w:rsidR="00950670" w:rsidRDefault="00950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8BB06" w14:textId="77777777" w:rsidR="003E65D9" w:rsidRDefault="003E65D9" w:rsidP="009504C2">
      <w:pPr>
        <w:spacing w:after="0" w:line="240" w:lineRule="auto"/>
      </w:pPr>
      <w:r>
        <w:separator/>
      </w:r>
    </w:p>
  </w:footnote>
  <w:footnote w:type="continuationSeparator" w:id="0">
    <w:p w14:paraId="009565F9" w14:textId="77777777" w:rsidR="003E65D9" w:rsidRDefault="003E65D9" w:rsidP="009504C2">
      <w:pPr>
        <w:spacing w:after="0" w:line="240" w:lineRule="auto"/>
      </w:pPr>
      <w:r>
        <w:continuationSeparator/>
      </w:r>
    </w:p>
  </w:footnote>
  <w:footnote w:type="continuationNotice" w:id="1">
    <w:p w14:paraId="05B09ABC" w14:textId="77777777" w:rsidR="003E65D9" w:rsidRDefault="003E65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1BF2" w14:textId="19D12C36" w:rsidR="009504C2" w:rsidRDefault="009504C2">
    <w:pPr>
      <w:pStyle w:val="Header"/>
    </w:pPr>
    <w:r>
      <w:rPr>
        <w:noProof/>
      </w:rPr>
      <w:drawing>
        <wp:anchor distT="0" distB="0" distL="114300" distR="114300" simplePos="0" relativeHeight="251658241" behindDoc="1" locked="0" layoutInCell="1" allowOverlap="1" wp14:anchorId="35E411D7" wp14:editId="5CA8352B">
          <wp:simplePos x="0" y="0"/>
          <wp:positionH relativeFrom="page">
            <wp:align>left</wp:align>
          </wp:positionH>
          <wp:positionV relativeFrom="paragraph">
            <wp:posOffset>-449742</wp:posOffset>
          </wp:positionV>
          <wp:extent cx="7642625" cy="10699845"/>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2542" cy="107137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1785" w14:textId="65782676" w:rsidR="009504C2" w:rsidRDefault="009504C2">
    <w:pPr>
      <w:pStyle w:val="Header"/>
    </w:pPr>
    <w:r>
      <w:rPr>
        <w:noProof/>
      </w:rPr>
      <w:drawing>
        <wp:anchor distT="0" distB="0" distL="114300" distR="114300" simplePos="0" relativeHeight="251658240" behindDoc="1" locked="0" layoutInCell="1" allowOverlap="1" wp14:anchorId="4D685CB3" wp14:editId="2BAB8B9D">
          <wp:simplePos x="0" y="0"/>
          <wp:positionH relativeFrom="page">
            <wp:posOffset>0</wp:posOffset>
          </wp:positionH>
          <wp:positionV relativeFrom="paragraph">
            <wp:posOffset>-437193</wp:posOffset>
          </wp:positionV>
          <wp:extent cx="7585100" cy="10645254"/>
          <wp:effectExtent l="0" t="0" r="0" b="3810"/>
          <wp:wrapNone/>
          <wp:docPr id="17" name="Picture 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100" cy="106452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18F"/>
    <w:multiLevelType w:val="hybridMultilevel"/>
    <w:tmpl w:val="4B70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5202D"/>
    <w:multiLevelType w:val="hybridMultilevel"/>
    <w:tmpl w:val="03123FA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7859A5"/>
    <w:multiLevelType w:val="hybridMultilevel"/>
    <w:tmpl w:val="8FECDB3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BCE16C9"/>
    <w:multiLevelType w:val="multilevel"/>
    <w:tmpl w:val="7E62F0D2"/>
    <w:numStyleLink w:val="CurrentList1"/>
  </w:abstractNum>
  <w:abstractNum w:abstractNumId="4" w15:restartNumberingAfterBreak="0">
    <w:nsid w:val="47EA0EA9"/>
    <w:multiLevelType w:val="hybridMultilevel"/>
    <w:tmpl w:val="1DCEA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F335BA"/>
    <w:multiLevelType w:val="hybridMultilevel"/>
    <w:tmpl w:val="AFD03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67514A"/>
    <w:multiLevelType w:val="hybridMultilevel"/>
    <w:tmpl w:val="0E4A79A0"/>
    <w:lvl w:ilvl="0" w:tplc="08090015">
      <w:start w:val="1"/>
      <w:numFmt w:val="upp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7" w15:restartNumberingAfterBreak="0">
    <w:nsid w:val="5AC46B35"/>
    <w:multiLevelType w:val="multilevel"/>
    <w:tmpl w:val="E938B7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5C794E73"/>
    <w:multiLevelType w:val="multilevel"/>
    <w:tmpl w:val="3544EA6C"/>
    <w:lvl w:ilvl="0">
      <w:start w:val="1"/>
      <w:numFmt w:val="decimal"/>
      <w:lvlText w:val="%1."/>
      <w:lvlJc w:val="left"/>
      <w:pPr>
        <w:ind w:left="360" w:hanging="360"/>
      </w:pPr>
      <w:rPr>
        <w:b/>
        <w:bCs w:val="0"/>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b/>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64556AC2"/>
    <w:multiLevelType w:val="multilevel"/>
    <w:tmpl w:val="7F7E805A"/>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bCs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64E91860"/>
    <w:multiLevelType w:val="hybridMultilevel"/>
    <w:tmpl w:val="934426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44AEC"/>
    <w:multiLevelType w:val="hybridMultilevel"/>
    <w:tmpl w:val="2D404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3B417E"/>
    <w:multiLevelType w:val="hybridMultilevel"/>
    <w:tmpl w:val="98208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606C55"/>
    <w:multiLevelType w:val="multilevel"/>
    <w:tmpl w:val="7E62F0D2"/>
    <w:styleLink w:val="CurrentList1"/>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404033341">
    <w:abstractNumId w:val="6"/>
  </w:num>
  <w:num w:numId="2" w16cid:durableId="1673487093">
    <w:abstractNumId w:val="7"/>
  </w:num>
  <w:num w:numId="3" w16cid:durableId="1315333382">
    <w:abstractNumId w:val="13"/>
  </w:num>
  <w:num w:numId="4" w16cid:durableId="1927574277">
    <w:abstractNumId w:val="9"/>
  </w:num>
  <w:num w:numId="5" w16cid:durableId="377507683">
    <w:abstractNumId w:val="8"/>
  </w:num>
  <w:num w:numId="6" w16cid:durableId="980037421">
    <w:abstractNumId w:val="10"/>
  </w:num>
  <w:num w:numId="7" w16cid:durableId="1901094319">
    <w:abstractNumId w:val="4"/>
  </w:num>
  <w:num w:numId="8" w16cid:durableId="404768095">
    <w:abstractNumId w:val="0"/>
  </w:num>
  <w:num w:numId="9" w16cid:durableId="1519079997">
    <w:abstractNumId w:val="5"/>
  </w:num>
  <w:num w:numId="10" w16cid:durableId="892153017">
    <w:abstractNumId w:val="12"/>
  </w:num>
  <w:num w:numId="11" w16cid:durableId="356010771">
    <w:abstractNumId w:val="11"/>
  </w:num>
  <w:num w:numId="12" w16cid:durableId="105973139">
    <w:abstractNumId w:val="1"/>
  </w:num>
  <w:num w:numId="13" w16cid:durableId="1481532721">
    <w:abstractNumId w:val="2"/>
  </w:num>
  <w:num w:numId="14" w16cid:durableId="55963140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C2"/>
    <w:rsid w:val="0000027B"/>
    <w:rsid w:val="00001ED0"/>
    <w:rsid w:val="00002EEE"/>
    <w:rsid w:val="000032FE"/>
    <w:rsid w:val="00010BB0"/>
    <w:rsid w:val="000112F5"/>
    <w:rsid w:val="00011DAF"/>
    <w:rsid w:val="000145C7"/>
    <w:rsid w:val="00016819"/>
    <w:rsid w:val="00020BAA"/>
    <w:rsid w:val="00025C8E"/>
    <w:rsid w:val="00027372"/>
    <w:rsid w:val="00032FE6"/>
    <w:rsid w:val="00033A24"/>
    <w:rsid w:val="0003555C"/>
    <w:rsid w:val="00037CCF"/>
    <w:rsid w:val="00037D19"/>
    <w:rsid w:val="0004190D"/>
    <w:rsid w:val="00042127"/>
    <w:rsid w:val="000447CA"/>
    <w:rsid w:val="00046E5F"/>
    <w:rsid w:val="000502DB"/>
    <w:rsid w:val="0005310C"/>
    <w:rsid w:val="00054363"/>
    <w:rsid w:val="00060536"/>
    <w:rsid w:val="00060FD2"/>
    <w:rsid w:val="00062E29"/>
    <w:rsid w:val="000641E6"/>
    <w:rsid w:val="000671CD"/>
    <w:rsid w:val="0007026A"/>
    <w:rsid w:val="00072A71"/>
    <w:rsid w:val="00072EE6"/>
    <w:rsid w:val="00073242"/>
    <w:rsid w:val="000809A2"/>
    <w:rsid w:val="000830AD"/>
    <w:rsid w:val="00085012"/>
    <w:rsid w:val="00094301"/>
    <w:rsid w:val="00094B21"/>
    <w:rsid w:val="00094C45"/>
    <w:rsid w:val="000953F2"/>
    <w:rsid w:val="000A4AE0"/>
    <w:rsid w:val="000A6E47"/>
    <w:rsid w:val="000A778D"/>
    <w:rsid w:val="000B12F9"/>
    <w:rsid w:val="000B225E"/>
    <w:rsid w:val="000B2802"/>
    <w:rsid w:val="000B347D"/>
    <w:rsid w:val="000B69B1"/>
    <w:rsid w:val="000C466E"/>
    <w:rsid w:val="000C472A"/>
    <w:rsid w:val="000D3E3C"/>
    <w:rsid w:val="000D5004"/>
    <w:rsid w:val="000D6755"/>
    <w:rsid w:val="000E4054"/>
    <w:rsid w:val="000E5115"/>
    <w:rsid w:val="000E6D9D"/>
    <w:rsid w:val="000E76A5"/>
    <w:rsid w:val="000F3794"/>
    <w:rsid w:val="000F6F7A"/>
    <w:rsid w:val="0010242F"/>
    <w:rsid w:val="00103D82"/>
    <w:rsid w:val="00104D1F"/>
    <w:rsid w:val="00104EB9"/>
    <w:rsid w:val="00106A7B"/>
    <w:rsid w:val="00107F01"/>
    <w:rsid w:val="0011428C"/>
    <w:rsid w:val="00126EAC"/>
    <w:rsid w:val="00131877"/>
    <w:rsid w:val="00137F9D"/>
    <w:rsid w:val="0014007F"/>
    <w:rsid w:val="0014424C"/>
    <w:rsid w:val="0014559D"/>
    <w:rsid w:val="0014664B"/>
    <w:rsid w:val="00153707"/>
    <w:rsid w:val="00153E66"/>
    <w:rsid w:val="0015627D"/>
    <w:rsid w:val="00162D01"/>
    <w:rsid w:val="001631E9"/>
    <w:rsid w:val="001636EF"/>
    <w:rsid w:val="0016488A"/>
    <w:rsid w:val="001650F9"/>
    <w:rsid w:val="00173154"/>
    <w:rsid w:val="001747AA"/>
    <w:rsid w:val="001749E7"/>
    <w:rsid w:val="0018066F"/>
    <w:rsid w:val="00191E1A"/>
    <w:rsid w:val="00192898"/>
    <w:rsid w:val="00193D37"/>
    <w:rsid w:val="001951AD"/>
    <w:rsid w:val="00196667"/>
    <w:rsid w:val="00197CD5"/>
    <w:rsid w:val="001A01D4"/>
    <w:rsid w:val="001A2084"/>
    <w:rsid w:val="001B25D5"/>
    <w:rsid w:val="001B40C6"/>
    <w:rsid w:val="001C4261"/>
    <w:rsid w:val="001C6214"/>
    <w:rsid w:val="001C76B1"/>
    <w:rsid w:val="001D0A39"/>
    <w:rsid w:val="001D0C70"/>
    <w:rsid w:val="001D227A"/>
    <w:rsid w:val="001D4B59"/>
    <w:rsid w:val="001D5069"/>
    <w:rsid w:val="001D59C0"/>
    <w:rsid w:val="001E1373"/>
    <w:rsid w:val="001E62F6"/>
    <w:rsid w:val="001F1B93"/>
    <w:rsid w:val="001F24B7"/>
    <w:rsid w:val="001F3DAC"/>
    <w:rsid w:val="001F441E"/>
    <w:rsid w:val="001F4F83"/>
    <w:rsid w:val="00206E31"/>
    <w:rsid w:val="00210ADE"/>
    <w:rsid w:val="0021790A"/>
    <w:rsid w:val="0022181D"/>
    <w:rsid w:val="00225E14"/>
    <w:rsid w:val="00226B6A"/>
    <w:rsid w:val="00233AE0"/>
    <w:rsid w:val="00234F3B"/>
    <w:rsid w:val="00235A34"/>
    <w:rsid w:val="00237AFB"/>
    <w:rsid w:val="00241D46"/>
    <w:rsid w:val="0025300B"/>
    <w:rsid w:val="002543D8"/>
    <w:rsid w:val="002558FB"/>
    <w:rsid w:val="002674FF"/>
    <w:rsid w:val="00271C6C"/>
    <w:rsid w:val="002744C5"/>
    <w:rsid w:val="002763F2"/>
    <w:rsid w:val="00277C92"/>
    <w:rsid w:val="002852FC"/>
    <w:rsid w:val="002878CE"/>
    <w:rsid w:val="00287B29"/>
    <w:rsid w:val="00290CF1"/>
    <w:rsid w:val="0029171E"/>
    <w:rsid w:val="00292883"/>
    <w:rsid w:val="002946DF"/>
    <w:rsid w:val="0029608B"/>
    <w:rsid w:val="002960E5"/>
    <w:rsid w:val="00296746"/>
    <w:rsid w:val="002A17B4"/>
    <w:rsid w:val="002A3A3A"/>
    <w:rsid w:val="002A4D4E"/>
    <w:rsid w:val="002A6E5A"/>
    <w:rsid w:val="002C190A"/>
    <w:rsid w:val="002C45AF"/>
    <w:rsid w:val="002C50D9"/>
    <w:rsid w:val="002C70F1"/>
    <w:rsid w:val="002D1F8F"/>
    <w:rsid w:val="002E0456"/>
    <w:rsid w:val="002E7615"/>
    <w:rsid w:val="002E77C0"/>
    <w:rsid w:val="002F154B"/>
    <w:rsid w:val="002F6688"/>
    <w:rsid w:val="00300C1E"/>
    <w:rsid w:val="00301FE8"/>
    <w:rsid w:val="00304563"/>
    <w:rsid w:val="0031104E"/>
    <w:rsid w:val="00311F9D"/>
    <w:rsid w:val="00313595"/>
    <w:rsid w:val="00322248"/>
    <w:rsid w:val="0032230B"/>
    <w:rsid w:val="00323FBD"/>
    <w:rsid w:val="003255CA"/>
    <w:rsid w:val="003272B0"/>
    <w:rsid w:val="00330288"/>
    <w:rsid w:val="00331A98"/>
    <w:rsid w:val="003346DA"/>
    <w:rsid w:val="00334A48"/>
    <w:rsid w:val="003354D9"/>
    <w:rsid w:val="00335C6D"/>
    <w:rsid w:val="0033691C"/>
    <w:rsid w:val="0034117B"/>
    <w:rsid w:val="00341694"/>
    <w:rsid w:val="00345629"/>
    <w:rsid w:val="00345D4E"/>
    <w:rsid w:val="00346ABD"/>
    <w:rsid w:val="0034792B"/>
    <w:rsid w:val="0035531C"/>
    <w:rsid w:val="00355581"/>
    <w:rsid w:val="003556D5"/>
    <w:rsid w:val="0035598A"/>
    <w:rsid w:val="003615EF"/>
    <w:rsid w:val="00361657"/>
    <w:rsid w:val="00362649"/>
    <w:rsid w:val="003629DF"/>
    <w:rsid w:val="003677B3"/>
    <w:rsid w:val="0037051B"/>
    <w:rsid w:val="00371A1C"/>
    <w:rsid w:val="00372F64"/>
    <w:rsid w:val="00373EED"/>
    <w:rsid w:val="00374729"/>
    <w:rsid w:val="00374C72"/>
    <w:rsid w:val="003755F7"/>
    <w:rsid w:val="00375F82"/>
    <w:rsid w:val="00376F0D"/>
    <w:rsid w:val="00377226"/>
    <w:rsid w:val="00380A94"/>
    <w:rsid w:val="00380B4C"/>
    <w:rsid w:val="00380F81"/>
    <w:rsid w:val="00382A22"/>
    <w:rsid w:val="0038700C"/>
    <w:rsid w:val="003920D2"/>
    <w:rsid w:val="003A6A2E"/>
    <w:rsid w:val="003B1C5F"/>
    <w:rsid w:val="003B586E"/>
    <w:rsid w:val="003B6118"/>
    <w:rsid w:val="003B78A5"/>
    <w:rsid w:val="003C5D8E"/>
    <w:rsid w:val="003C7050"/>
    <w:rsid w:val="003C79BB"/>
    <w:rsid w:val="003C7FA7"/>
    <w:rsid w:val="003D3486"/>
    <w:rsid w:val="003D4F89"/>
    <w:rsid w:val="003E0817"/>
    <w:rsid w:val="003E1723"/>
    <w:rsid w:val="003E3FBA"/>
    <w:rsid w:val="003E65D9"/>
    <w:rsid w:val="003E7F2D"/>
    <w:rsid w:val="003F0F78"/>
    <w:rsid w:val="003F68DA"/>
    <w:rsid w:val="003F6ADC"/>
    <w:rsid w:val="003F7CE2"/>
    <w:rsid w:val="0040122B"/>
    <w:rsid w:val="00406410"/>
    <w:rsid w:val="00414E8E"/>
    <w:rsid w:val="00420BC1"/>
    <w:rsid w:val="00421FC6"/>
    <w:rsid w:val="00427759"/>
    <w:rsid w:val="00431569"/>
    <w:rsid w:val="00432AC5"/>
    <w:rsid w:val="00433E8C"/>
    <w:rsid w:val="004348A3"/>
    <w:rsid w:val="00437612"/>
    <w:rsid w:val="0044143F"/>
    <w:rsid w:val="00441ABF"/>
    <w:rsid w:val="00442E91"/>
    <w:rsid w:val="00447E27"/>
    <w:rsid w:val="004509E5"/>
    <w:rsid w:val="00453E35"/>
    <w:rsid w:val="00455F19"/>
    <w:rsid w:val="00456FFE"/>
    <w:rsid w:val="00460DFF"/>
    <w:rsid w:val="00464418"/>
    <w:rsid w:val="0047336B"/>
    <w:rsid w:val="0047DA45"/>
    <w:rsid w:val="00484D2E"/>
    <w:rsid w:val="00485DB4"/>
    <w:rsid w:val="00493188"/>
    <w:rsid w:val="00497F9A"/>
    <w:rsid w:val="004A26D3"/>
    <w:rsid w:val="004A4A3A"/>
    <w:rsid w:val="004A5069"/>
    <w:rsid w:val="004A7043"/>
    <w:rsid w:val="004A7145"/>
    <w:rsid w:val="004A72FE"/>
    <w:rsid w:val="004A798F"/>
    <w:rsid w:val="004B0907"/>
    <w:rsid w:val="004B4C55"/>
    <w:rsid w:val="004B6640"/>
    <w:rsid w:val="004B6714"/>
    <w:rsid w:val="004B7C3D"/>
    <w:rsid w:val="004C1A9D"/>
    <w:rsid w:val="004C2709"/>
    <w:rsid w:val="004C3047"/>
    <w:rsid w:val="004C53CA"/>
    <w:rsid w:val="004C558B"/>
    <w:rsid w:val="004C5D8E"/>
    <w:rsid w:val="004C7D64"/>
    <w:rsid w:val="004D0664"/>
    <w:rsid w:val="004D190C"/>
    <w:rsid w:val="004D4B80"/>
    <w:rsid w:val="004D522A"/>
    <w:rsid w:val="004E0A36"/>
    <w:rsid w:val="004E10F9"/>
    <w:rsid w:val="004E15AC"/>
    <w:rsid w:val="004E3208"/>
    <w:rsid w:val="004E4028"/>
    <w:rsid w:val="004E4C8E"/>
    <w:rsid w:val="004F29EF"/>
    <w:rsid w:val="004F3FA2"/>
    <w:rsid w:val="004F41FD"/>
    <w:rsid w:val="004F5646"/>
    <w:rsid w:val="004F6741"/>
    <w:rsid w:val="004F67D2"/>
    <w:rsid w:val="004F747B"/>
    <w:rsid w:val="00501712"/>
    <w:rsid w:val="005063E9"/>
    <w:rsid w:val="005106E4"/>
    <w:rsid w:val="00515EF5"/>
    <w:rsid w:val="00520B4B"/>
    <w:rsid w:val="00526F2A"/>
    <w:rsid w:val="00527464"/>
    <w:rsid w:val="005314E4"/>
    <w:rsid w:val="00533579"/>
    <w:rsid w:val="00534D05"/>
    <w:rsid w:val="00535352"/>
    <w:rsid w:val="0053626C"/>
    <w:rsid w:val="00542B2E"/>
    <w:rsid w:val="005469C2"/>
    <w:rsid w:val="00552185"/>
    <w:rsid w:val="00553D4C"/>
    <w:rsid w:val="00555302"/>
    <w:rsid w:val="005558DF"/>
    <w:rsid w:val="005558E1"/>
    <w:rsid w:val="00556D9B"/>
    <w:rsid w:val="00557470"/>
    <w:rsid w:val="00562A86"/>
    <w:rsid w:val="00565D4C"/>
    <w:rsid w:val="00566CA9"/>
    <w:rsid w:val="0057155E"/>
    <w:rsid w:val="00571BDE"/>
    <w:rsid w:val="00575A99"/>
    <w:rsid w:val="00582419"/>
    <w:rsid w:val="00582558"/>
    <w:rsid w:val="00583FB5"/>
    <w:rsid w:val="005915C6"/>
    <w:rsid w:val="0059208C"/>
    <w:rsid w:val="005934EC"/>
    <w:rsid w:val="0059788A"/>
    <w:rsid w:val="005A32F9"/>
    <w:rsid w:val="005A5ABA"/>
    <w:rsid w:val="005A635E"/>
    <w:rsid w:val="005B16C6"/>
    <w:rsid w:val="005B1917"/>
    <w:rsid w:val="005B1FDB"/>
    <w:rsid w:val="005B4E3D"/>
    <w:rsid w:val="005B7747"/>
    <w:rsid w:val="005C2017"/>
    <w:rsid w:val="005D4B07"/>
    <w:rsid w:val="005D5445"/>
    <w:rsid w:val="005D6D7F"/>
    <w:rsid w:val="005E075B"/>
    <w:rsid w:val="005E07C5"/>
    <w:rsid w:val="005E200C"/>
    <w:rsid w:val="005E21E3"/>
    <w:rsid w:val="005E53D7"/>
    <w:rsid w:val="005F5AD0"/>
    <w:rsid w:val="006039B8"/>
    <w:rsid w:val="00604E7C"/>
    <w:rsid w:val="006060ED"/>
    <w:rsid w:val="006111C7"/>
    <w:rsid w:val="006114C1"/>
    <w:rsid w:val="00613A31"/>
    <w:rsid w:val="00615968"/>
    <w:rsid w:val="00621ED6"/>
    <w:rsid w:val="00623EF5"/>
    <w:rsid w:val="006357FB"/>
    <w:rsid w:val="00647930"/>
    <w:rsid w:val="00657302"/>
    <w:rsid w:val="00660674"/>
    <w:rsid w:val="00662719"/>
    <w:rsid w:val="006637D8"/>
    <w:rsid w:val="006674BF"/>
    <w:rsid w:val="00667DCD"/>
    <w:rsid w:val="00667E85"/>
    <w:rsid w:val="006726BD"/>
    <w:rsid w:val="006733F8"/>
    <w:rsid w:val="0067674B"/>
    <w:rsid w:val="00676772"/>
    <w:rsid w:val="00676CBB"/>
    <w:rsid w:val="006803BB"/>
    <w:rsid w:val="00681D3A"/>
    <w:rsid w:val="006823CA"/>
    <w:rsid w:val="006828CF"/>
    <w:rsid w:val="006831B8"/>
    <w:rsid w:val="006861ED"/>
    <w:rsid w:val="00691215"/>
    <w:rsid w:val="00691A78"/>
    <w:rsid w:val="006A0D9F"/>
    <w:rsid w:val="006A3CAF"/>
    <w:rsid w:val="006A47A1"/>
    <w:rsid w:val="006A56A9"/>
    <w:rsid w:val="006A5AEB"/>
    <w:rsid w:val="006B2CDB"/>
    <w:rsid w:val="006B7DBD"/>
    <w:rsid w:val="006C012C"/>
    <w:rsid w:val="006C4BD9"/>
    <w:rsid w:val="006C5689"/>
    <w:rsid w:val="006C6E72"/>
    <w:rsid w:val="006D283E"/>
    <w:rsid w:val="006D3698"/>
    <w:rsid w:val="006E0976"/>
    <w:rsid w:val="006E0BA0"/>
    <w:rsid w:val="006F3FB6"/>
    <w:rsid w:val="006F3FF3"/>
    <w:rsid w:val="00701494"/>
    <w:rsid w:val="00701E9F"/>
    <w:rsid w:val="00704050"/>
    <w:rsid w:val="007050C3"/>
    <w:rsid w:val="00706385"/>
    <w:rsid w:val="0071294E"/>
    <w:rsid w:val="007132D6"/>
    <w:rsid w:val="00715A86"/>
    <w:rsid w:val="00717AF3"/>
    <w:rsid w:val="00720031"/>
    <w:rsid w:val="007252C5"/>
    <w:rsid w:val="007254FB"/>
    <w:rsid w:val="00726D07"/>
    <w:rsid w:val="00727586"/>
    <w:rsid w:val="00733108"/>
    <w:rsid w:val="00745F64"/>
    <w:rsid w:val="00751E11"/>
    <w:rsid w:val="007540E8"/>
    <w:rsid w:val="0075434A"/>
    <w:rsid w:val="007602C2"/>
    <w:rsid w:val="00760F63"/>
    <w:rsid w:val="007634E8"/>
    <w:rsid w:val="00763B73"/>
    <w:rsid w:val="00766F5E"/>
    <w:rsid w:val="00772492"/>
    <w:rsid w:val="00773135"/>
    <w:rsid w:val="007774EB"/>
    <w:rsid w:val="00781ABF"/>
    <w:rsid w:val="00784A34"/>
    <w:rsid w:val="007853F7"/>
    <w:rsid w:val="00790E99"/>
    <w:rsid w:val="00791E25"/>
    <w:rsid w:val="007969E1"/>
    <w:rsid w:val="00796F18"/>
    <w:rsid w:val="0079727A"/>
    <w:rsid w:val="007A122D"/>
    <w:rsid w:val="007A298B"/>
    <w:rsid w:val="007A29AE"/>
    <w:rsid w:val="007A2FC4"/>
    <w:rsid w:val="007B2B56"/>
    <w:rsid w:val="007B35FC"/>
    <w:rsid w:val="007B39DC"/>
    <w:rsid w:val="007B3ABF"/>
    <w:rsid w:val="007C19FF"/>
    <w:rsid w:val="007C3F03"/>
    <w:rsid w:val="007D57A6"/>
    <w:rsid w:val="007D5C57"/>
    <w:rsid w:val="007D601A"/>
    <w:rsid w:val="007D7663"/>
    <w:rsid w:val="007D7C10"/>
    <w:rsid w:val="007E2183"/>
    <w:rsid w:val="007E2544"/>
    <w:rsid w:val="007E32BC"/>
    <w:rsid w:val="007E3EE9"/>
    <w:rsid w:val="007E4A2B"/>
    <w:rsid w:val="007F0789"/>
    <w:rsid w:val="007F1AC1"/>
    <w:rsid w:val="007F53CB"/>
    <w:rsid w:val="007F63E8"/>
    <w:rsid w:val="00801A93"/>
    <w:rsid w:val="008046A2"/>
    <w:rsid w:val="0080748D"/>
    <w:rsid w:val="00810E65"/>
    <w:rsid w:val="0081109F"/>
    <w:rsid w:val="0081307C"/>
    <w:rsid w:val="00816897"/>
    <w:rsid w:val="0082124D"/>
    <w:rsid w:val="00824291"/>
    <w:rsid w:val="00824D53"/>
    <w:rsid w:val="008251A6"/>
    <w:rsid w:val="008254B4"/>
    <w:rsid w:val="0083245B"/>
    <w:rsid w:val="0083470D"/>
    <w:rsid w:val="0084287E"/>
    <w:rsid w:val="008439AA"/>
    <w:rsid w:val="0084528A"/>
    <w:rsid w:val="0084721F"/>
    <w:rsid w:val="008579F4"/>
    <w:rsid w:val="008627EA"/>
    <w:rsid w:val="00865E5F"/>
    <w:rsid w:val="00871690"/>
    <w:rsid w:val="008736B5"/>
    <w:rsid w:val="00876274"/>
    <w:rsid w:val="00881583"/>
    <w:rsid w:val="00882B54"/>
    <w:rsid w:val="00883057"/>
    <w:rsid w:val="0088354D"/>
    <w:rsid w:val="00885E0B"/>
    <w:rsid w:val="00886129"/>
    <w:rsid w:val="00890789"/>
    <w:rsid w:val="00894EB3"/>
    <w:rsid w:val="008A2CA7"/>
    <w:rsid w:val="008A4222"/>
    <w:rsid w:val="008B46F9"/>
    <w:rsid w:val="008C0697"/>
    <w:rsid w:val="008C1124"/>
    <w:rsid w:val="008C1BBF"/>
    <w:rsid w:val="008C2093"/>
    <w:rsid w:val="008C6EEC"/>
    <w:rsid w:val="008D14C3"/>
    <w:rsid w:val="008E2B40"/>
    <w:rsid w:val="008E2E5E"/>
    <w:rsid w:val="008E4224"/>
    <w:rsid w:val="008F064B"/>
    <w:rsid w:val="00901C92"/>
    <w:rsid w:val="00902531"/>
    <w:rsid w:val="00903145"/>
    <w:rsid w:val="00904CEB"/>
    <w:rsid w:val="00907941"/>
    <w:rsid w:val="00912881"/>
    <w:rsid w:val="00914353"/>
    <w:rsid w:val="00914C34"/>
    <w:rsid w:val="00917717"/>
    <w:rsid w:val="00917B78"/>
    <w:rsid w:val="009206B8"/>
    <w:rsid w:val="00923F92"/>
    <w:rsid w:val="00924C00"/>
    <w:rsid w:val="00925CA4"/>
    <w:rsid w:val="00926FB9"/>
    <w:rsid w:val="00930030"/>
    <w:rsid w:val="0093067C"/>
    <w:rsid w:val="00931D9F"/>
    <w:rsid w:val="00940399"/>
    <w:rsid w:val="00941C1D"/>
    <w:rsid w:val="00942334"/>
    <w:rsid w:val="009428CF"/>
    <w:rsid w:val="0094334D"/>
    <w:rsid w:val="009435AA"/>
    <w:rsid w:val="009438CE"/>
    <w:rsid w:val="009504C2"/>
    <w:rsid w:val="00950670"/>
    <w:rsid w:val="009521A5"/>
    <w:rsid w:val="00956259"/>
    <w:rsid w:val="00956B12"/>
    <w:rsid w:val="00957560"/>
    <w:rsid w:val="00962312"/>
    <w:rsid w:val="00962C68"/>
    <w:rsid w:val="00972CDB"/>
    <w:rsid w:val="00984C8B"/>
    <w:rsid w:val="00991E3B"/>
    <w:rsid w:val="0099253A"/>
    <w:rsid w:val="00997353"/>
    <w:rsid w:val="00997978"/>
    <w:rsid w:val="009A0D85"/>
    <w:rsid w:val="009A58CE"/>
    <w:rsid w:val="009B0474"/>
    <w:rsid w:val="009B0C80"/>
    <w:rsid w:val="009B13A9"/>
    <w:rsid w:val="009B6258"/>
    <w:rsid w:val="009C089B"/>
    <w:rsid w:val="009C0C0D"/>
    <w:rsid w:val="009C143B"/>
    <w:rsid w:val="009C1D60"/>
    <w:rsid w:val="009C1DD5"/>
    <w:rsid w:val="009C34F0"/>
    <w:rsid w:val="009C5298"/>
    <w:rsid w:val="009D0566"/>
    <w:rsid w:val="009D1A16"/>
    <w:rsid w:val="009E3D4D"/>
    <w:rsid w:val="009E516E"/>
    <w:rsid w:val="009E545F"/>
    <w:rsid w:val="009E5E68"/>
    <w:rsid w:val="009E6413"/>
    <w:rsid w:val="009F415B"/>
    <w:rsid w:val="00A01FB2"/>
    <w:rsid w:val="00A02A79"/>
    <w:rsid w:val="00A032CC"/>
    <w:rsid w:val="00A04844"/>
    <w:rsid w:val="00A05BDC"/>
    <w:rsid w:val="00A14BF3"/>
    <w:rsid w:val="00A14E34"/>
    <w:rsid w:val="00A169A0"/>
    <w:rsid w:val="00A16A2F"/>
    <w:rsid w:val="00A21BE7"/>
    <w:rsid w:val="00A3285D"/>
    <w:rsid w:val="00A34863"/>
    <w:rsid w:val="00A40835"/>
    <w:rsid w:val="00A41E46"/>
    <w:rsid w:val="00A432B7"/>
    <w:rsid w:val="00A44494"/>
    <w:rsid w:val="00A505F4"/>
    <w:rsid w:val="00A51E55"/>
    <w:rsid w:val="00A52FED"/>
    <w:rsid w:val="00A54E59"/>
    <w:rsid w:val="00A56DBE"/>
    <w:rsid w:val="00A577ED"/>
    <w:rsid w:val="00A65BE0"/>
    <w:rsid w:val="00A75E00"/>
    <w:rsid w:val="00A81DBD"/>
    <w:rsid w:val="00A82887"/>
    <w:rsid w:val="00A82FD9"/>
    <w:rsid w:val="00A84B56"/>
    <w:rsid w:val="00A84EB8"/>
    <w:rsid w:val="00A855CA"/>
    <w:rsid w:val="00A864D6"/>
    <w:rsid w:val="00A92570"/>
    <w:rsid w:val="00A95D6C"/>
    <w:rsid w:val="00AA2C1A"/>
    <w:rsid w:val="00AA5916"/>
    <w:rsid w:val="00AB673A"/>
    <w:rsid w:val="00AC0784"/>
    <w:rsid w:val="00AC732D"/>
    <w:rsid w:val="00AC75DF"/>
    <w:rsid w:val="00AC7C79"/>
    <w:rsid w:val="00AD0220"/>
    <w:rsid w:val="00AD3842"/>
    <w:rsid w:val="00AD500E"/>
    <w:rsid w:val="00AD5891"/>
    <w:rsid w:val="00AD7841"/>
    <w:rsid w:val="00AE361F"/>
    <w:rsid w:val="00AF1065"/>
    <w:rsid w:val="00AF2F6D"/>
    <w:rsid w:val="00AF5B1D"/>
    <w:rsid w:val="00B0389D"/>
    <w:rsid w:val="00B070B5"/>
    <w:rsid w:val="00B07C7B"/>
    <w:rsid w:val="00B10F9E"/>
    <w:rsid w:val="00B13142"/>
    <w:rsid w:val="00B13821"/>
    <w:rsid w:val="00B16A50"/>
    <w:rsid w:val="00B2012D"/>
    <w:rsid w:val="00B26E28"/>
    <w:rsid w:val="00B356F5"/>
    <w:rsid w:val="00B37DFF"/>
    <w:rsid w:val="00B42AA3"/>
    <w:rsid w:val="00B50973"/>
    <w:rsid w:val="00B56168"/>
    <w:rsid w:val="00B5625A"/>
    <w:rsid w:val="00B63DC4"/>
    <w:rsid w:val="00B65749"/>
    <w:rsid w:val="00B65E2D"/>
    <w:rsid w:val="00B72706"/>
    <w:rsid w:val="00B73D5D"/>
    <w:rsid w:val="00B745E1"/>
    <w:rsid w:val="00B8045A"/>
    <w:rsid w:val="00B82D89"/>
    <w:rsid w:val="00B836EA"/>
    <w:rsid w:val="00B870BA"/>
    <w:rsid w:val="00B87F85"/>
    <w:rsid w:val="00B910C7"/>
    <w:rsid w:val="00BA5AB0"/>
    <w:rsid w:val="00BA7489"/>
    <w:rsid w:val="00BB0BA3"/>
    <w:rsid w:val="00BB0E26"/>
    <w:rsid w:val="00BB2347"/>
    <w:rsid w:val="00BB385C"/>
    <w:rsid w:val="00BC06FA"/>
    <w:rsid w:val="00BC1CBE"/>
    <w:rsid w:val="00BC7125"/>
    <w:rsid w:val="00BC7EC3"/>
    <w:rsid w:val="00BD37D0"/>
    <w:rsid w:val="00BD42C3"/>
    <w:rsid w:val="00BD63F3"/>
    <w:rsid w:val="00BD71C0"/>
    <w:rsid w:val="00BE0E93"/>
    <w:rsid w:val="00BE5722"/>
    <w:rsid w:val="00BE5F1B"/>
    <w:rsid w:val="00BE7CF7"/>
    <w:rsid w:val="00BF31C4"/>
    <w:rsid w:val="00C03892"/>
    <w:rsid w:val="00C06DDF"/>
    <w:rsid w:val="00C103B9"/>
    <w:rsid w:val="00C14CB0"/>
    <w:rsid w:val="00C15546"/>
    <w:rsid w:val="00C15B33"/>
    <w:rsid w:val="00C1625D"/>
    <w:rsid w:val="00C16560"/>
    <w:rsid w:val="00C177F0"/>
    <w:rsid w:val="00C245E5"/>
    <w:rsid w:val="00C25425"/>
    <w:rsid w:val="00C25B90"/>
    <w:rsid w:val="00C337DE"/>
    <w:rsid w:val="00C343E3"/>
    <w:rsid w:val="00C36B19"/>
    <w:rsid w:val="00C37ABA"/>
    <w:rsid w:val="00C503C9"/>
    <w:rsid w:val="00C51944"/>
    <w:rsid w:val="00C55B97"/>
    <w:rsid w:val="00C65CC8"/>
    <w:rsid w:val="00C6637C"/>
    <w:rsid w:val="00C66648"/>
    <w:rsid w:val="00C6688F"/>
    <w:rsid w:val="00C75FF6"/>
    <w:rsid w:val="00C80C1C"/>
    <w:rsid w:val="00C81725"/>
    <w:rsid w:val="00C837E2"/>
    <w:rsid w:val="00C8578A"/>
    <w:rsid w:val="00C86C63"/>
    <w:rsid w:val="00C86C7C"/>
    <w:rsid w:val="00C968B0"/>
    <w:rsid w:val="00C9710E"/>
    <w:rsid w:val="00CA3529"/>
    <w:rsid w:val="00CA7DE9"/>
    <w:rsid w:val="00CB0740"/>
    <w:rsid w:val="00CB3A48"/>
    <w:rsid w:val="00CB3D03"/>
    <w:rsid w:val="00CC21C9"/>
    <w:rsid w:val="00CC2CED"/>
    <w:rsid w:val="00CC5DE3"/>
    <w:rsid w:val="00CD024A"/>
    <w:rsid w:val="00CD143D"/>
    <w:rsid w:val="00CD1BDB"/>
    <w:rsid w:val="00CD1E4D"/>
    <w:rsid w:val="00CD34CA"/>
    <w:rsid w:val="00CD5BAB"/>
    <w:rsid w:val="00CD7DA9"/>
    <w:rsid w:val="00CE329A"/>
    <w:rsid w:val="00CE5E91"/>
    <w:rsid w:val="00CE7980"/>
    <w:rsid w:val="00CF0ACD"/>
    <w:rsid w:val="00CF4258"/>
    <w:rsid w:val="00CF43D1"/>
    <w:rsid w:val="00D0368F"/>
    <w:rsid w:val="00D13305"/>
    <w:rsid w:val="00D21B38"/>
    <w:rsid w:val="00D30EE8"/>
    <w:rsid w:val="00D30FD9"/>
    <w:rsid w:val="00D3334D"/>
    <w:rsid w:val="00D34121"/>
    <w:rsid w:val="00D34316"/>
    <w:rsid w:val="00D357AA"/>
    <w:rsid w:val="00D40206"/>
    <w:rsid w:val="00D41E65"/>
    <w:rsid w:val="00D47269"/>
    <w:rsid w:val="00D527EC"/>
    <w:rsid w:val="00D557D3"/>
    <w:rsid w:val="00D56C99"/>
    <w:rsid w:val="00D57C6A"/>
    <w:rsid w:val="00D602D5"/>
    <w:rsid w:val="00D62D56"/>
    <w:rsid w:val="00D767B5"/>
    <w:rsid w:val="00D770D1"/>
    <w:rsid w:val="00D84F15"/>
    <w:rsid w:val="00D858BD"/>
    <w:rsid w:val="00D940A5"/>
    <w:rsid w:val="00DA1C72"/>
    <w:rsid w:val="00DA1ECB"/>
    <w:rsid w:val="00DA632B"/>
    <w:rsid w:val="00DB01D9"/>
    <w:rsid w:val="00DB03C5"/>
    <w:rsid w:val="00DB1A83"/>
    <w:rsid w:val="00DB31E1"/>
    <w:rsid w:val="00DB4390"/>
    <w:rsid w:val="00DB49E5"/>
    <w:rsid w:val="00DB5A3C"/>
    <w:rsid w:val="00DC3E07"/>
    <w:rsid w:val="00DC4035"/>
    <w:rsid w:val="00DC765C"/>
    <w:rsid w:val="00DD20B2"/>
    <w:rsid w:val="00DD25CE"/>
    <w:rsid w:val="00DD3E1C"/>
    <w:rsid w:val="00DE6C25"/>
    <w:rsid w:val="00DE6C47"/>
    <w:rsid w:val="00DF12B4"/>
    <w:rsid w:val="00DF3367"/>
    <w:rsid w:val="00DF7D5E"/>
    <w:rsid w:val="00E00DAB"/>
    <w:rsid w:val="00E013E4"/>
    <w:rsid w:val="00E01C83"/>
    <w:rsid w:val="00E03961"/>
    <w:rsid w:val="00E04650"/>
    <w:rsid w:val="00E161A4"/>
    <w:rsid w:val="00E17801"/>
    <w:rsid w:val="00E21D89"/>
    <w:rsid w:val="00E230EE"/>
    <w:rsid w:val="00E27718"/>
    <w:rsid w:val="00E3007F"/>
    <w:rsid w:val="00E3056D"/>
    <w:rsid w:val="00E32D3D"/>
    <w:rsid w:val="00E371C7"/>
    <w:rsid w:val="00E44710"/>
    <w:rsid w:val="00E447C6"/>
    <w:rsid w:val="00E47897"/>
    <w:rsid w:val="00E51AD5"/>
    <w:rsid w:val="00E540E2"/>
    <w:rsid w:val="00E543D7"/>
    <w:rsid w:val="00E55156"/>
    <w:rsid w:val="00E55EB0"/>
    <w:rsid w:val="00E576CF"/>
    <w:rsid w:val="00E6241C"/>
    <w:rsid w:val="00E63225"/>
    <w:rsid w:val="00E655A1"/>
    <w:rsid w:val="00E722ED"/>
    <w:rsid w:val="00E813FC"/>
    <w:rsid w:val="00E8401C"/>
    <w:rsid w:val="00E8414F"/>
    <w:rsid w:val="00E86282"/>
    <w:rsid w:val="00E92C70"/>
    <w:rsid w:val="00E94116"/>
    <w:rsid w:val="00E96258"/>
    <w:rsid w:val="00E97040"/>
    <w:rsid w:val="00EA54E6"/>
    <w:rsid w:val="00EA5CA8"/>
    <w:rsid w:val="00EA6E8A"/>
    <w:rsid w:val="00EA7818"/>
    <w:rsid w:val="00EB62B3"/>
    <w:rsid w:val="00EB6F8B"/>
    <w:rsid w:val="00EB7E61"/>
    <w:rsid w:val="00EC3637"/>
    <w:rsid w:val="00EC568D"/>
    <w:rsid w:val="00EC656F"/>
    <w:rsid w:val="00ED145E"/>
    <w:rsid w:val="00ED54F8"/>
    <w:rsid w:val="00ED5A2E"/>
    <w:rsid w:val="00ED5E49"/>
    <w:rsid w:val="00EE1386"/>
    <w:rsid w:val="00EE307E"/>
    <w:rsid w:val="00EE411C"/>
    <w:rsid w:val="00EF0441"/>
    <w:rsid w:val="00EF45C5"/>
    <w:rsid w:val="00EF5865"/>
    <w:rsid w:val="00EF6396"/>
    <w:rsid w:val="00F0648B"/>
    <w:rsid w:val="00F064C2"/>
    <w:rsid w:val="00F06A81"/>
    <w:rsid w:val="00F07580"/>
    <w:rsid w:val="00F11621"/>
    <w:rsid w:val="00F17DD7"/>
    <w:rsid w:val="00F22749"/>
    <w:rsid w:val="00F24B06"/>
    <w:rsid w:val="00F26FA7"/>
    <w:rsid w:val="00F27B36"/>
    <w:rsid w:val="00F33A04"/>
    <w:rsid w:val="00F34D3A"/>
    <w:rsid w:val="00F41770"/>
    <w:rsid w:val="00F43508"/>
    <w:rsid w:val="00F5132A"/>
    <w:rsid w:val="00F57ABD"/>
    <w:rsid w:val="00F60844"/>
    <w:rsid w:val="00F71B53"/>
    <w:rsid w:val="00F71D57"/>
    <w:rsid w:val="00F755DE"/>
    <w:rsid w:val="00F76216"/>
    <w:rsid w:val="00F813E1"/>
    <w:rsid w:val="00F8411F"/>
    <w:rsid w:val="00F862D1"/>
    <w:rsid w:val="00F90646"/>
    <w:rsid w:val="00F95C9D"/>
    <w:rsid w:val="00F97586"/>
    <w:rsid w:val="00FA52AA"/>
    <w:rsid w:val="00FA54B7"/>
    <w:rsid w:val="00FA5D1E"/>
    <w:rsid w:val="00FA728E"/>
    <w:rsid w:val="00FB35F4"/>
    <w:rsid w:val="00FB5737"/>
    <w:rsid w:val="00FC2E93"/>
    <w:rsid w:val="00FC3730"/>
    <w:rsid w:val="00FC5B1B"/>
    <w:rsid w:val="00FC7204"/>
    <w:rsid w:val="00FC7F04"/>
    <w:rsid w:val="00FD336E"/>
    <w:rsid w:val="00FD3455"/>
    <w:rsid w:val="00FE0566"/>
    <w:rsid w:val="00FE0FB8"/>
    <w:rsid w:val="00FE37B3"/>
    <w:rsid w:val="00FE6AE1"/>
    <w:rsid w:val="00FE7BF1"/>
    <w:rsid w:val="00FF2609"/>
    <w:rsid w:val="00FF2702"/>
    <w:rsid w:val="00FF37C8"/>
    <w:rsid w:val="01908625"/>
    <w:rsid w:val="01E35DEC"/>
    <w:rsid w:val="027A8B31"/>
    <w:rsid w:val="028103A3"/>
    <w:rsid w:val="02EB07E5"/>
    <w:rsid w:val="0322D569"/>
    <w:rsid w:val="03CBDFF1"/>
    <w:rsid w:val="041ED8AD"/>
    <w:rsid w:val="04A9D486"/>
    <w:rsid w:val="060694A7"/>
    <w:rsid w:val="06303938"/>
    <w:rsid w:val="067A79A9"/>
    <w:rsid w:val="0696849E"/>
    <w:rsid w:val="06D42551"/>
    <w:rsid w:val="06DBE006"/>
    <w:rsid w:val="08183A45"/>
    <w:rsid w:val="081C00AD"/>
    <w:rsid w:val="08D2A78A"/>
    <w:rsid w:val="097B1092"/>
    <w:rsid w:val="0DBC4BB2"/>
    <w:rsid w:val="0E97D86E"/>
    <w:rsid w:val="0EE6F1EB"/>
    <w:rsid w:val="0EF1E0DB"/>
    <w:rsid w:val="1033A8CF"/>
    <w:rsid w:val="11067ABC"/>
    <w:rsid w:val="1110AA4C"/>
    <w:rsid w:val="119B7D4E"/>
    <w:rsid w:val="11FE34B3"/>
    <w:rsid w:val="1201B83C"/>
    <w:rsid w:val="13522134"/>
    <w:rsid w:val="13D7867F"/>
    <w:rsid w:val="14EDF195"/>
    <w:rsid w:val="1766335A"/>
    <w:rsid w:val="17E4FC7A"/>
    <w:rsid w:val="18D73B63"/>
    <w:rsid w:val="18FE80C1"/>
    <w:rsid w:val="19DA8B15"/>
    <w:rsid w:val="1A478E0A"/>
    <w:rsid w:val="1C86DBDF"/>
    <w:rsid w:val="1D036FB7"/>
    <w:rsid w:val="1DCFF411"/>
    <w:rsid w:val="1EADFC38"/>
    <w:rsid w:val="1F165F87"/>
    <w:rsid w:val="1F96462C"/>
    <w:rsid w:val="201A1EFC"/>
    <w:rsid w:val="205AADBD"/>
    <w:rsid w:val="213EEA82"/>
    <w:rsid w:val="21E59CFA"/>
    <w:rsid w:val="225949DF"/>
    <w:rsid w:val="228D6761"/>
    <w:rsid w:val="24ABB8E6"/>
    <w:rsid w:val="255361AD"/>
    <w:rsid w:val="25980884"/>
    <w:rsid w:val="264ECAE9"/>
    <w:rsid w:val="266841F3"/>
    <w:rsid w:val="27ADEF01"/>
    <w:rsid w:val="27B304B1"/>
    <w:rsid w:val="280A95AE"/>
    <w:rsid w:val="2C1E649D"/>
    <w:rsid w:val="2C312F2B"/>
    <w:rsid w:val="2D9BE29D"/>
    <w:rsid w:val="2DA2D309"/>
    <w:rsid w:val="2DC7B6FA"/>
    <w:rsid w:val="2F46F597"/>
    <w:rsid w:val="2F747FBF"/>
    <w:rsid w:val="2F9EBA98"/>
    <w:rsid w:val="319691A9"/>
    <w:rsid w:val="31CCD4FD"/>
    <w:rsid w:val="32B1F4FF"/>
    <w:rsid w:val="33B0ACBF"/>
    <w:rsid w:val="34378A2B"/>
    <w:rsid w:val="343B5CCC"/>
    <w:rsid w:val="367D00CB"/>
    <w:rsid w:val="3754C9A7"/>
    <w:rsid w:val="377F04FE"/>
    <w:rsid w:val="38AFDB7E"/>
    <w:rsid w:val="3986E7A4"/>
    <w:rsid w:val="39D9507F"/>
    <w:rsid w:val="3ACF4D83"/>
    <w:rsid w:val="3B286760"/>
    <w:rsid w:val="3C7EA95A"/>
    <w:rsid w:val="3CDB7EBE"/>
    <w:rsid w:val="3D7DD390"/>
    <w:rsid w:val="3D915626"/>
    <w:rsid w:val="3ECC83CB"/>
    <w:rsid w:val="3F13A914"/>
    <w:rsid w:val="3F971A9A"/>
    <w:rsid w:val="3FE3DF16"/>
    <w:rsid w:val="41164004"/>
    <w:rsid w:val="42564EF9"/>
    <w:rsid w:val="42F46CAA"/>
    <w:rsid w:val="4312F151"/>
    <w:rsid w:val="43664540"/>
    <w:rsid w:val="4428EE68"/>
    <w:rsid w:val="45A69AFB"/>
    <w:rsid w:val="462D4655"/>
    <w:rsid w:val="48DCAC11"/>
    <w:rsid w:val="494CEDAA"/>
    <w:rsid w:val="49D2800B"/>
    <w:rsid w:val="4AE2E220"/>
    <w:rsid w:val="4BB0DE35"/>
    <w:rsid w:val="4CF8164D"/>
    <w:rsid w:val="4D99F14E"/>
    <w:rsid w:val="4E74EE96"/>
    <w:rsid w:val="4EE41967"/>
    <w:rsid w:val="4EF5591E"/>
    <w:rsid w:val="4F763C20"/>
    <w:rsid w:val="501E7C5F"/>
    <w:rsid w:val="502A194B"/>
    <w:rsid w:val="50CDDFDB"/>
    <w:rsid w:val="50F4E910"/>
    <w:rsid w:val="5132EF93"/>
    <w:rsid w:val="51995FB5"/>
    <w:rsid w:val="54107C05"/>
    <w:rsid w:val="54897A2E"/>
    <w:rsid w:val="54A69F20"/>
    <w:rsid w:val="54F8F08A"/>
    <w:rsid w:val="54FA54AD"/>
    <w:rsid w:val="5515E077"/>
    <w:rsid w:val="556032BF"/>
    <w:rsid w:val="586665D7"/>
    <w:rsid w:val="59F2B8A5"/>
    <w:rsid w:val="59F48B9E"/>
    <w:rsid w:val="5A3FD170"/>
    <w:rsid w:val="5A74C221"/>
    <w:rsid w:val="5B7A01EA"/>
    <w:rsid w:val="5BB59D5F"/>
    <w:rsid w:val="5DBDEA7F"/>
    <w:rsid w:val="5E241D47"/>
    <w:rsid w:val="5E7A7D67"/>
    <w:rsid w:val="60923A68"/>
    <w:rsid w:val="60E23D3D"/>
    <w:rsid w:val="6103E99D"/>
    <w:rsid w:val="63645460"/>
    <w:rsid w:val="6367926C"/>
    <w:rsid w:val="637AEC0C"/>
    <w:rsid w:val="64EC7FBC"/>
    <w:rsid w:val="65906B93"/>
    <w:rsid w:val="65A73610"/>
    <w:rsid w:val="65E574EE"/>
    <w:rsid w:val="6752ADB1"/>
    <w:rsid w:val="677FBF16"/>
    <w:rsid w:val="678D2D2F"/>
    <w:rsid w:val="6854517C"/>
    <w:rsid w:val="69E15622"/>
    <w:rsid w:val="6A5167FB"/>
    <w:rsid w:val="6AF11643"/>
    <w:rsid w:val="6C638DDF"/>
    <w:rsid w:val="6C778CF1"/>
    <w:rsid w:val="6D27C29F"/>
    <w:rsid w:val="6E411519"/>
    <w:rsid w:val="6F4CE966"/>
    <w:rsid w:val="6F647E2C"/>
    <w:rsid w:val="70B0F3A9"/>
    <w:rsid w:val="7135B51A"/>
    <w:rsid w:val="71A92644"/>
    <w:rsid w:val="725C79E0"/>
    <w:rsid w:val="732786E4"/>
    <w:rsid w:val="7352608E"/>
    <w:rsid w:val="739946EF"/>
    <w:rsid w:val="747AED05"/>
    <w:rsid w:val="74FE0155"/>
    <w:rsid w:val="76649DFA"/>
    <w:rsid w:val="767C4C02"/>
    <w:rsid w:val="76FECA90"/>
    <w:rsid w:val="77E2E548"/>
    <w:rsid w:val="77E62CC6"/>
    <w:rsid w:val="78BA808D"/>
    <w:rsid w:val="7903D88E"/>
    <w:rsid w:val="7A148C21"/>
    <w:rsid w:val="7A53D4EA"/>
    <w:rsid w:val="7A6F794B"/>
    <w:rsid w:val="7AAD89C7"/>
    <w:rsid w:val="7B311EB1"/>
    <w:rsid w:val="7C68A8A8"/>
    <w:rsid w:val="7C94AA0B"/>
    <w:rsid w:val="7CF71F19"/>
    <w:rsid w:val="7E2266C3"/>
    <w:rsid w:val="7F825CAB"/>
    <w:rsid w:val="7FB03AE8"/>
    <w:rsid w:val="7FB88B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8508C"/>
  <w15:docId w15:val="{3E8ECA0D-E604-451E-A59E-60964BFE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DA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577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77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4D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24D5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E761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E761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2F668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F668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F668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4C2"/>
    <w:pPr>
      <w:ind w:left="720"/>
      <w:contextualSpacing/>
    </w:pPr>
  </w:style>
  <w:style w:type="paragraph" w:styleId="Header">
    <w:name w:val="header"/>
    <w:basedOn w:val="Normal"/>
    <w:link w:val="HeaderChar"/>
    <w:uiPriority w:val="99"/>
    <w:unhideWhenUsed/>
    <w:rsid w:val="00950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4C2"/>
    <w:rPr>
      <w:rFonts w:ascii="Calibri" w:eastAsia="Calibri" w:hAnsi="Calibri" w:cs="Times New Roman"/>
    </w:rPr>
  </w:style>
  <w:style w:type="paragraph" w:styleId="Footer">
    <w:name w:val="footer"/>
    <w:basedOn w:val="Normal"/>
    <w:link w:val="FooterChar"/>
    <w:uiPriority w:val="99"/>
    <w:unhideWhenUsed/>
    <w:rsid w:val="00950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4C2"/>
    <w:rPr>
      <w:rFonts w:ascii="Calibri" w:eastAsia="Calibri" w:hAnsi="Calibri" w:cs="Times New Roman"/>
    </w:rPr>
  </w:style>
  <w:style w:type="character" w:customStyle="1" w:styleId="Heading1Char">
    <w:name w:val="Heading 1 Char"/>
    <w:basedOn w:val="DefaultParagraphFont"/>
    <w:link w:val="Heading1"/>
    <w:uiPriority w:val="9"/>
    <w:rsid w:val="00A577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77E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577ED"/>
    <w:rPr>
      <w:color w:val="0563C1" w:themeColor="hyperlink"/>
      <w:u w:val="single"/>
    </w:rPr>
  </w:style>
  <w:style w:type="table" w:styleId="TableGrid">
    <w:name w:val="Table Grid"/>
    <w:basedOn w:val="TableNormal"/>
    <w:uiPriority w:val="59"/>
    <w:rsid w:val="00A577E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Normal"/>
    <w:uiPriority w:val="99"/>
    <w:rsid w:val="00A577ED"/>
    <w:pPr>
      <w:autoSpaceDE w:val="0"/>
      <w:autoSpaceDN w:val="0"/>
      <w:spacing w:after="0" w:line="241" w:lineRule="atLeast"/>
    </w:pPr>
    <w:rPr>
      <w:rFonts w:ascii="Meta" w:eastAsiaTheme="minorHAnsi" w:hAnsi="Meta" w:cs="Calibri"/>
      <w:sz w:val="24"/>
      <w:szCs w:val="24"/>
      <w:lang w:eastAsia="en-GB"/>
    </w:rPr>
  </w:style>
  <w:style w:type="character" w:customStyle="1" w:styleId="A12">
    <w:name w:val="A12"/>
    <w:basedOn w:val="DefaultParagraphFont"/>
    <w:uiPriority w:val="99"/>
    <w:rsid w:val="00A577ED"/>
    <w:rPr>
      <w:rFonts w:ascii="Meta" w:hAnsi="Meta" w:hint="default"/>
      <w:color w:val="000000"/>
    </w:rPr>
  </w:style>
  <w:style w:type="paragraph" w:styleId="CommentText">
    <w:name w:val="annotation text"/>
    <w:basedOn w:val="Normal"/>
    <w:link w:val="CommentTextChar"/>
    <w:uiPriority w:val="99"/>
    <w:unhideWhenUsed/>
    <w:rsid w:val="00A577ED"/>
    <w:pPr>
      <w:spacing w:line="240" w:lineRule="auto"/>
    </w:pPr>
    <w:rPr>
      <w:sz w:val="20"/>
      <w:szCs w:val="20"/>
    </w:rPr>
  </w:style>
  <w:style w:type="character" w:customStyle="1" w:styleId="CommentTextChar">
    <w:name w:val="Comment Text Char"/>
    <w:basedOn w:val="DefaultParagraphFont"/>
    <w:link w:val="CommentText"/>
    <w:uiPriority w:val="99"/>
    <w:rsid w:val="00A577ED"/>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A577ED"/>
    <w:rPr>
      <w:sz w:val="16"/>
      <w:szCs w:val="16"/>
    </w:rPr>
  </w:style>
  <w:style w:type="character" w:styleId="IntenseEmphasis">
    <w:name w:val="Intense Emphasis"/>
    <w:basedOn w:val="DefaultParagraphFont"/>
    <w:uiPriority w:val="21"/>
    <w:qFormat/>
    <w:rsid w:val="004C5D8E"/>
    <w:rPr>
      <w:i/>
      <w:iCs/>
      <w:color w:val="4472C4" w:themeColor="accent1"/>
    </w:rPr>
  </w:style>
  <w:style w:type="table" w:customStyle="1" w:styleId="TableGrid1">
    <w:name w:val="Table Grid1"/>
    <w:basedOn w:val="TableNormal"/>
    <w:next w:val="TableGrid"/>
    <w:uiPriority w:val="59"/>
    <w:rsid w:val="009079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D522A"/>
    <w:pPr>
      <w:numPr>
        <w:numId w:val="3"/>
      </w:numPr>
    </w:pPr>
  </w:style>
  <w:style w:type="paragraph" w:styleId="Revision">
    <w:name w:val="Revision"/>
    <w:hidden/>
    <w:uiPriority w:val="99"/>
    <w:semiHidden/>
    <w:rsid w:val="00D41E65"/>
    <w:pPr>
      <w:spacing w:after="0" w:line="240" w:lineRule="auto"/>
    </w:pPr>
    <w:rPr>
      <w:rFonts w:ascii="Calibri" w:eastAsia="Calibri" w:hAnsi="Calibri" w:cs="Times New Roman"/>
    </w:rPr>
  </w:style>
  <w:style w:type="table" w:customStyle="1" w:styleId="TableGrid2">
    <w:name w:val="Table Grid2"/>
    <w:basedOn w:val="TableNormal"/>
    <w:next w:val="TableGrid"/>
    <w:uiPriority w:val="39"/>
    <w:rsid w:val="004F6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F639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paragraph" w:customStyle="1" w:styleId="TableStyle1">
    <w:name w:val="Table Style 1"/>
    <w:rsid w:val="00EF6396"/>
    <w:pPr>
      <w:pBdr>
        <w:top w:val="nil"/>
        <w:left w:val="nil"/>
        <w:bottom w:val="nil"/>
        <w:right w:val="nil"/>
        <w:between w:val="nil"/>
        <w:bar w:val="nil"/>
      </w:pBdr>
      <w:spacing w:after="0" w:line="240" w:lineRule="auto"/>
    </w:pPr>
    <w:rPr>
      <w:rFonts w:ascii="Helvetica" w:eastAsia="Arial Unicode MS" w:hAnsi="Helvetica" w:cs="Arial Unicode MS"/>
      <w:b/>
      <w:bCs/>
      <w:color w:val="000000"/>
      <w:sz w:val="20"/>
      <w:szCs w:val="20"/>
      <w:bdr w:val="nil"/>
      <w:lang w:eastAsia="en-GB"/>
    </w:rPr>
  </w:style>
  <w:style w:type="paragraph" w:styleId="CommentSubject">
    <w:name w:val="annotation subject"/>
    <w:basedOn w:val="CommentText"/>
    <w:next w:val="CommentText"/>
    <w:link w:val="CommentSubjectChar"/>
    <w:uiPriority w:val="99"/>
    <w:semiHidden/>
    <w:unhideWhenUsed/>
    <w:rsid w:val="000A4AE0"/>
    <w:rPr>
      <w:b/>
      <w:bCs/>
    </w:rPr>
  </w:style>
  <w:style w:type="character" w:customStyle="1" w:styleId="CommentSubjectChar">
    <w:name w:val="Comment Subject Char"/>
    <w:basedOn w:val="CommentTextChar"/>
    <w:link w:val="CommentSubject"/>
    <w:uiPriority w:val="99"/>
    <w:semiHidden/>
    <w:rsid w:val="000A4AE0"/>
    <w:rPr>
      <w:rFonts w:ascii="Calibri" w:eastAsia="Calibri" w:hAnsi="Calibri" w:cs="Times New Roman"/>
      <w:b/>
      <w:bCs/>
      <w:sz w:val="20"/>
      <w:szCs w:val="20"/>
    </w:rPr>
  </w:style>
  <w:style w:type="paragraph" w:styleId="TOCHeading">
    <w:name w:val="TOC Heading"/>
    <w:basedOn w:val="Heading1"/>
    <w:next w:val="Normal"/>
    <w:uiPriority w:val="39"/>
    <w:unhideWhenUsed/>
    <w:qFormat/>
    <w:rsid w:val="004F5646"/>
    <w:pPr>
      <w:spacing w:line="259" w:lineRule="auto"/>
      <w:outlineLvl w:val="9"/>
    </w:pPr>
    <w:rPr>
      <w:lang w:val="en-US"/>
    </w:rPr>
  </w:style>
  <w:style w:type="paragraph" w:styleId="TOC2">
    <w:name w:val="toc 2"/>
    <w:basedOn w:val="Normal"/>
    <w:next w:val="Normal"/>
    <w:autoRedefine/>
    <w:uiPriority w:val="39"/>
    <w:unhideWhenUsed/>
    <w:rsid w:val="004F5646"/>
    <w:pPr>
      <w:spacing w:after="100" w:line="259" w:lineRule="auto"/>
      <w:ind w:left="220"/>
    </w:pPr>
    <w:rPr>
      <w:rFonts w:asciiTheme="minorHAnsi" w:eastAsiaTheme="minorEastAsia" w:hAnsiTheme="minorHAnsi"/>
      <w:lang w:val="en-US"/>
    </w:rPr>
  </w:style>
  <w:style w:type="paragraph" w:styleId="TOC1">
    <w:name w:val="toc 1"/>
    <w:basedOn w:val="Normal"/>
    <w:next w:val="Normal"/>
    <w:autoRedefine/>
    <w:uiPriority w:val="39"/>
    <w:unhideWhenUsed/>
    <w:rsid w:val="006674BF"/>
    <w:pPr>
      <w:tabs>
        <w:tab w:val="right" w:leader="dot" w:pos="9736"/>
      </w:tabs>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4F5646"/>
    <w:pPr>
      <w:spacing w:after="100" w:line="259" w:lineRule="auto"/>
      <w:ind w:left="440"/>
    </w:pPr>
    <w:rPr>
      <w:rFonts w:asciiTheme="minorHAnsi" w:eastAsiaTheme="minorEastAsia" w:hAnsiTheme="minorHAnsi"/>
      <w:lang w:val="en-US"/>
    </w:rPr>
  </w:style>
  <w:style w:type="character" w:customStyle="1" w:styleId="Heading3Char">
    <w:name w:val="Heading 3 Char"/>
    <w:basedOn w:val="DefaultParagraphFont"/>
    <w:link w:val="Heading3"/>
    <w:uiPriority w:val="9"/>
    <w:rsid w:val="00824D5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24D5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E761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2E761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2F668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2F66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F668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855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housing21.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bettermobility.co.uk/charity_funding_options.ph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using21.org.uk/" TargetMode="External"/><Relationship Id="rId5" Type="http://schemas.openxmlformats.org/officeDocument/2006/relationships/numbering" Target="numbering.xml"/><Relationship Id="rId15" Type="http://schemas.openxmlformats.org/officeDocument/2006/relationships/hyperlink" Target="https://www.gov.uk/financial-help-disabled/vehicles-and-transpor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tability.co.uk/how-it-work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FFE2B67F2B24E90EA3ED1A390AA2C" ma:contentTypeVersion="8" ma:contentTypeDescription="Create a new document." ma:contentTypeScope="" ma:versionID="2fa7cc98ab9c25c737d30b1a06100448">
  <xsd:schema xmlns:xsd="http://www.w3.org/2001/XMLSchema" xmlns:xs="http://www.w3.org/2001/XMLSchema" xmlns:p="http://schemas.microsoft.com/office/2006/metadata/properties" xmlns:ns2="ff8d22ef-1841-49d5-8ce6-b15d2f851a02" xmlns:ns3="89cf89d9-ad26-4bcc-9ac6-9c0e6c4a9e6d" targetNamespace="http://schemas.microsoft.com/office/2006/metadata/properties" ma:root="true" ma:fieldsID="f1e443d72c6829b153d91707402fdeea" ns2:_="" ns3:_="">
    <xsd:import namespace="ff8d22ef-1841-49d5-8ce6-b15d2f851a02"/>
    <xsd:import namespace="89cf89d9-ad26-4bcc-9ac6-9c0e6c4a9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d22ef-1841-49d5-8ce6-b15d2f851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f89d9-ad26-4bcc-9ac6-9c0e6c4a9e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26D14-95AB-49B1-B912-583A408B999C}"/>
</file>

<file path=customXml/itemProps2.xml><?xml version="1.0" encoding="utf-8"?>
<ds:datastoreItem xmlns:ds="http://schemas.openxmlformats.org/officeDocument/2006/customXml" ds:itemID="{E7523BB9-32C4-435C-84BC-8839B9BD0614}">
  <ds:schemaRefs>
    <ds:schemaRef ds:uri="http://schemas.microsoft.com/sharepoint/v3/contenttype/forms"/>
  </ds:schemaRefs>
</ds:datastoreItem>
</file>

<file path=customXml/itemProps3.xml><?xml version="1.0" encoding="utf-8"?>
<ds:datastoreItem xmlns:ds="http://schemas.openxmlformats.org/officeDocument/2006/customXml" ds:itemID="{C3B68499-312A-466F-A4CF-60921209F328}">
  <ds:schemaRefs>
    <ds:schemaRef ds:uri="http://www.w3.org/XML/1998/namespace"/>
    <ds:schemaRef ds:uri="82086345-7ab3-475c-aff2-919a9be5f6a6"/>
    <ds:schemaRef ds:uri="86558e2f-3e2a-4bdc-8a2c-371760457c08"/>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EEA2864-F876-471E-9328-9A2A3F54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3288</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Taddei</dc:creator>
  <cp:keywords/>
  <dc:description/>
  <cp:lastModifiedBy>Louise Hembrow</cp:lastModifiedBy>
  <cp:revision>3</cp:revision>
  <dcterms:created xsi:type="dcterms:W3CDTF">2024-09-18T16:03:00Z</dcterms:created>
  <dcterms:modified xsi:type="dcterms:W3CDTF">2024-09-18T16:04:00Z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0x01010050DFFE2B67F2B24E90EA3ED1A390AA2C</vt:lpwstr>
  </property>
  <property fmtid="{D5CDD505-2E9C-101B-9397-08002B2CF9AE}" pid="3" name="Activities">
    <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GrammarlyDocumentId">
    <vt:lpwstr>07bc721d032648230acf2a07d9bc7555c320f7af0da7334d5560091725ef3de5</vt:lpwstr>
  </property>
  <property fmtid="{D5CDD505-2E9C-101B-9397-08002B2CF9AE}" pid="8" name="MediaServiceImageTags">
    <vt:lpwstr/>
  </property>
</Properties>
</file>